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359D32" w14:textId="0A2FFB06" w:rsidR="001E75F7" w:rsidRPr="00CE248E" w:rsidRDefault="001E75F7" w:rsidP="001E75F7">
      <w:pPr>
        <w:pStyle w:val="3GPPHeader"/>
        <w:spacing w:after="60"/>
        <w:rPr>
          <w:sz w:val="36"/>
          <w:szCs w:val="32"/>
        </w:rPr>
      </w:pPr>
      <w:r w:rsidRPr="00CE248E">
        <w:t>3GPP TSG-RAN WG2</w:t>
      </w:r>
      <w:r w:rsidR="00D740D5">
        <w:rPr>
          <w:noProof/>
        </w:rPr>
        <w:t xml:space="preserve"> </w:t>
      </w:r>
      <w:r w:rsidR="00302A80">
        <w:rPr>
          <w:noProof/>
        </w:rPr>
        <w:t>#103</w:t>
      </w:r>
      <w:r w:rsidRPr="00CE248E">
        <w:rPr>
          <w:sz w:val="28"/>
        </w:rPr>
        <w:tab/>
      </w:r>
      <w:r w:rsidRPr="003C5665">
        <w:rPr>
          <w:sz w:val="28"/>
          <w:szCs w:val="28"/>
        </w:rPr>
        <w:t>R2-</w:t>
      </w:r>
      <w:r w:rsidR="00943CE9" w:rsidRPr="003C5665">
        <w:rPr>
          <w:sz w:val="28"/>
          <w:szCs w:val="28"/>
        </w:rPr>
        <w:t>18</w:t>
      </w:r>
      <w:r w:rsidR="00CF1FFE">
        <w:rPr>
          <w:sz w:val="28"/>
          <w:szCs w:val="28"/>
        </w:rPr>
        <w:t>12230</w:t>
      </w:r>
      <w:bookmarkStart w:id="0" w:name="_GoBack"/>
      <w:bookmarkEnd w:id="0"/>
    </w:p>
    <w:p w14:paraId="5CDC33D2" w14:textId="519B5A98" w:rsidR="001E75F7" w:rsidRDefault="00302A80" w:rsidP="001E75F7">
      <w:pPr>
        <w:pStyle w:val="3GPPHeader"/>
        <w:rPr>
          <w:rFonts w:cs="Arial"/>
        </w:rPr>
      </w:pPr>
      <w:r>
        <w:t>Gothenburg</w:t>
      </w:r>
      <w:r w:rsidR="00AC2660" w:rsidRPr="004840A7">
        <w:t xml:space="preserve">, </w:t>
      </w:r>
      <w:r>
        <w:t>Sweden</w:t>
      </w:r>
      <w:r w:rsidR="00AC2660">
        <w:t>, 2</w:t>
      </w:r>
      <w:r>
        <w:t>0</w:t>
      </w:r>
      <w:r>
        <w:rPr>
          <w:vertAlign w:val="superscript"/>
        </w:rPr>
        <w:t>th</w:t>
      </w:r>
      <w:r w:rsidR="00AC2660">
        <w:t xml:space="preserve"> – </w:t>
      </w:r>
      <w:r>
        <w:t>24</w:t>
      </w:r>
      <w:r w:rsidR="00AC2660">
        <w:rPr>
          <w:vertAlign w:val="superscript"/>
        </w:rPr>
        <w:t xml:space="preserve">th </w:t>
      </w:r>
      <w:proofErr w:type="gramStart"/>
      <w:r>
        <w:t>August</w:t>
      </w:r>
      <w:r w:rsidR="00AC2660" w:rsidRPr="004840A7">
        <w:t>,</w:t>
      </w:r>
      <w:proofErr w:type="gramEnd"/>
      <w:r w:rsidR="00AC2660" w:rsidRPr="004840A7">
        <w:t xml:space="preserve"> 2018</w:t>
      </w:r>
      <w:r w:rsidR="008165CC" w:rsidRPr="007D251A">
        <w:t xml:space="preserve">           </w:t>
      </w:r>
      <w:r w:rsidR="001E75F7">
        <w:rPr>
          <w:rFonts w:cs="Arial"/>
        </w:rPr>
        <w:tab/>
        <w:t>(resubmission of R2-180</w:t>
      </w:r>
      <w:r w:rsidR="00221926">
        <w:rPr>
          <w:rFonts w:cs="Arial"/>
        </w:rPr>
        <w:t>9586</w:t>
      </w:r>
      <w:r w:rsidR="001E75F7">
        <w:rPr>
          <w:rFonts w:cs="Arial"/>
        </w:rPr>
        <w:t>)</w:t>
      </w:r>
    </w:p>
    <w:p w14:paraId="712AEA26" w14:textId="77777777" w:rsidR="00E90E49" w:rsidRPr="00CE0424" w:rsidRDefault="00E90E49" w:rsidP="00357380">
      <w:pPr>
        <w:pStyle w:val="3GPPHeader"/>
      </w:pPr>
    </w:p>
    <w:p w14:paraId="712AEA27" w14:textId="3DE0F2EB" w:rsidR="00E90E49" w:rsidRPr="001C48D2" w:rsidRDefault="00E90E49" w:rsidP="00311702">
      <w:pPr>
        <w:pStyle w:val="3GPPHeader"/>
        <w:rPr>
          <w:sz w:val="22"/>
        </w:rPr>
      </w:pPr>
      <w:r w:rsidRPr="003C5665">
        <w:rPr>
          <w:sz w:val="22"/>
        </w:rPr>
        <w:t>Agenda Item:</w:t>
      </w:r>
      <w:r w:rsidR="003F60ED" w:rsidRPr="003C5665">
        <w:rPr>
          <w:sz w:val="22"/>
        </w:rPr>
        <w:t xml:space="preserve"> </w:t>
      </w:r>
      <w:r w:rsidRPr="003C5665">
        <w:rPr>
          <w:sz w:val="22"/>
        </w:rPr>
        <w:tab/>
      </w:r>
      <w:r w:rsidR="003B11F4">
        <w:rPr>
          <w:sz w:val="22"/>
        </w:rPr>
        <w:t>10.4.1.4.6</w:t>
      </w:r>
    </w:p>
    <w:p w14:paraId="712AEA2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12AEA29" w14:textId="77777777" w:rsidR="003F60ED" w:rsidRPr="00082DB6" w:rsidRDefault="003D3C45" w:rsidP="003F60ED">
      <w:pPr>
        <w:pStyle w:val="3GPPHeader"/>
        <w:rPr>
          <w:sz w:val="22"/>
        </w:rPr>
      </w:pPr>
      <w:r>
        <w:rPr>
          <w:sz w:val="22"/>
        </w:rPr>
        <w:t>Title:</w:t>
      </w:r>
      <w:r w:rsidR="00E90E49" w:rsidRPr="00CE0424">
        <w:rPr>
          <w:sz w:val="22"/>
        </w:rPr>
        <w:tab/>
      </w:r>
      <w:r w:rsidR="003F60ED" w:rsidRPr="00082DB6">
        <w:rPr>
          <w:sz w:val="22"/>
        </w:rPr>
        <w:t>Impact of cell quality scaling in NR</w:t>
      </w:r>
    </w:p>
    <w:p w14:paraId="712AEA2A" w14:textId="77777777" w:rsidR="003F60ED" w:rsidRPr="000D0425" w:rsidRDefault="00E90E49" w:rsidP="003F60ED">
      <w:pPr>
        <w:pStyle w:val="3GPPHeader"/>
        <w:rPr>
          <w:sz w:val="22"/>
        </w:rPr>
      </w:pPr>
      <w:r w:rsidRPr="00CE0424">
        <w:rPr>
          <w:sz w:val="22"/>
        </w:rPr>
        <w:t>Document for:</w:t>
      </w:r>
      <w:r w:rsidRPr="00CE0424">
        <w:rPr>
          <w:sz w:val="22"/>
        </w:rPr>
        <w:tab/>
      </w:r>
      <w:r w:rsidR="003F60ED" w:rsidRPr="000D0425">
        <w:rPr>
          <w:sz w:val="22"/>
        </w:rPr>
        <w:t>Discussion, Decision</w:t>
      </w:r>
    </w:p>
    <w:p w14:paraId="712AEA2B" w14:textId="77777777" w:rsidR="00C24345" w:rsidRDefault="00E90E49" w:rsidP="00A2052C">
      <w:pPr>
        <w:pStyle w:val="Heading1"/>
      </w:pPr>
      <w:r w:rsidRPr="00CE0424">
        <w:t>Introduction</w:t>
      </w:r>
    </w:p>
    <w:p w14:paraId="712AEA2C" w14:textId="77777777" w:rsidR="003F60ED" w:rsidRPr="00082DB6" w:rsidRDefault="003F60ED" w:rsidP="003F60ED">
      <w:r w:rsidRPr="00082DB6">
        <w:t>Cell quality derivation was discussed in the RAN2</w:t>
      </w:r>
      <w:r>
        <w:t>#98</w:t>
      </w:r>
      <w:r w:rsidRPr="00082DB6">
        <w:t xml:space="preserve"> meeting</w:t>
      </w:r>
      <w:r>
        <w:t xml:space="preserve"> </w:t>
      </w:r>
      <w:r w:rsidRPr="00082DB6">
        <w:t>and the following agreement</w:t>
      </w:r>
      <w:r>
        <w:t>s</w:t>
      </w:r>
      <w:r w:rsidRPr="00082DB6">
        <w:t xml:space="preserve"> and working assumption were made</w:t>
      </w:r>
      <w:r w:rsidR="00EB69BD">
        <w:t xml:space="preserve"> </w:t>
      </w:r>
      <w:r w:rsidR="00EB69BD">
        <w:fldChar w:fldCharType="begin"/>
      </w:r>
      <w:r w:rsidR="00EB69BD">
        <w:instrText xml:space="preserve"> REF _Ref503179870 \r \h </w:instrText>
      </w:r>
      <w:r w:rsidR="00EB69BD">
        <w:fldChar w:fldCharType="separate"/>
      </w:r>
      <w:r w:rsidR="00EB69BD">
        <w:t>[1]</w:t>
      </w:r>
      <w:r w:rsidR="00EB69BD">
        <w:fldChar w:fldCharType="end"/>
      </w:r>
      <w:r w:rsidRPr="00082DB6">
        <w:t>:</w:t>
      </w:r>
      <w:r w:rsidRPr="00082DB6">
        <w:tab/>
      </w:r>
    </w:p>
    <w:p w14:paraId="712AEA2D"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pPr>
      <w:r w:rsidRPr="00082DB6">
        <w:t>Agreements</w:t>
      </w:r>
    </w:p>
    <w:p w14:paraId="712AEA2E"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pPr>
      <w:r w:rsidRPr="00082DB6">
        <w:t>1</w:t>
      </w:r>
      <w:r w:rsidRPr="00082DB6">
        <w:tab/>
        <w:t xml:space="preserve">There is an additional configurable filter per beam of the beam level measurements output from the L1 filter </w:t>
      </w:r>
      <w:proofErr w:type="gramStart"/>
      <w:r w:rsidRPr="00082DB6">
        <w:t>for the purpose of</w:t>
      </w:r>
      <w:proofErr w:type="gramEnd"/>
      <w:r w:rsidRPr="00082DB6">
        <w:t xml:space="preserve"> reporting beam measurement results in RRC measurement reports.</w:t>
      </w:r>
    </w:p>
    <w:p w14:paraId="712AEA2F"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pPr>
      <w:r w:rsidRPr="00082DB6">
        <w:t>2</w:t>
      </w:r>
      <w:r w:rsidRPr="00082DB6">
        <w:tab/>
        <w:t>There is no additional specified filter between the L1 filters and cell quality derivation function for the purposes of cell quality derivation</w:t>
      </w:r>
    </w:p>
    <w:p w14:paraId="712AEA30"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pPr>
      <w:r w:rsidRPr="00082DB6">
        <w:t>3</w:t>
      </w:r>
      <w:r w:rsidRPr="00082DB6">
        <w:tab/>
        <w:t>Same NR measurement model is applicable for measurements performed on CSI-RS or NR-SS.</w:t>
      </w:r>
    </w:p>
    <w:p w14:paraId="712AEA31" w14:textId="77777777" w:rsidR="003F60ED" w:rsidRPr="00082DB6" w:rsidRDefault="003F60ED" w:rsidP="003F60ED">
      <w:pPr>
        <w:pStyle w:val="Doc-text2"/>
      </w:pPr>
    </w:p>
    <w:p w14:paraId="712AEA32"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pPr>
      <w:r w:rsidRPr="00082DB6">
        <w:t>Agreements for combining of beam measurements if N &gt; 1:</w:t>
      </w:r>
    </w:p>
    <w:p w14:paraId="712AEA33"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pPr>
      <w:r w:rsidRPr="00082DB6">
        <w:t>1</w:t>
      </w:r>
      <w:r w:rsidRPr="00082DB6">
        <w:tab/>
        <w:t>Averaging will be based on power values (i.e. not dBm values)</w:t>
      </w:r>
    </w:p>
    <w:p w14:paraId="712AEA34"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pPr>
      <w:r w:rsidRPr="00FD60F4">
        <w:t>Working assumption: Average of up to best N of the detected beams above absolute threshold</w:t>
      </w:r>
    </w:p>
    <w:p w14:paraId="712AEA35" w14:textId="77777777" w:rsidR="003F60ED" w:rsidRPr="00082DB6" w:rsidRDefault="003F60ED" w:rsidP="003F60ED">
      <w:pPr>
        <w:pStyle w:val="Doc-text2"/>
      </w:pPr>
    </w:p>
    <w:p w14:paraId="712AEA36" w14:textId="267FFC0F" w:rsidR="003F60ED" w:rsidRPr="00082DB6" w:rsidRDefault="003F60ED" w:rsidP="003F60ED">
      <w:r w:rsidRPr="00082DB6">
        <w:t xml:space="preserve">In the </w:t>
      </w:r>
      <w:r w:rsidR="00EB69BD">
        <w:t xml:space="preserve">following </w:t>
      </w:r>
      <w:r w:rsidRPr="00082DB6">
        <w:t>RAN2#</w:t>
      </w:r>
      <w:r w:rsidR="00EB69BD">
        <w:t>98</w:t>
      </w:r>
      <w:r w:rsidRPr="00082DB6">
        <w:t xml:space="preserve">AH meeting, the working assumption was </w:t>
      </w:r>
      <w:r w:rsidR="00C3525B">
        <w:t xml:space="preserve">converted to the following agreement </w:t>
      </w:r>
      <w:r w:rsidR="00EB69BD">
        <w:fldChar w:fldCharType="begin"/>
      </w:r>
      <w:r w:rsidR="00EB69BD">
        <w:instrText xml:space="preserve"> REF _Ref503179891 \r \h </w:instrText>
      </w:r>
      <w:r w:rsidR="00EB69BD">
        <w:fldChar w:fldCharType="separate"/>
      </w:r>
      <w:r w:rsidR="00EB69BD">
        <w:t>[2]</w:t>
      </w:r>
      <w:r w:rsidR="00EB69BD">
        <w:fldChar w:fldCharType="end"/>
      </w:r>
      <w:r>
        <w:t>:</w:t>
      </w:r>
    </w:p>
    <w:p w14:paraId="712AEA37"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pPr>
      <w:r w:rsidRPr="00082DB6">
        <w:t>Agreement</w:t>
      </w:r>
    </w:p>
    <w:p w14:paraId="712AEA38" w14:textId="77777777" w:rsidR="003F60ED" w:rsidRPr="00082DB6" w:rsidRDefault="003F60ED" w:rsidP="003F60ED">
      <w:pPr>
        <w:pStyle w:val="Doc-text2"/>
        <w:pBdr>
          <w:top w:val="single" w:sz="4" w:space="1" w:color="auto"/>
          <w:left w:val="single" w:sz="4" w:space="4" w:color="auto"/>
          <w:bottom w:val="single" w:sz="4" w:space="1" w:color="auto"/>
          <w:right w:val="single" w:sz="4" w:space="4" w:color="auto"/>
        </w:pBdr>
      </w:pPr>
      <w:r w:rsidRPr="00082DB6">
        <w:t>1</w:t>
      </w:r>
      <w:r w:rsidRPr="00082DB6">
        <w:tab/>
        <w:t>Cell quality should be derived by averaging the best beam with the up to N-1 best beams above absolute configured threshold.</w:t>
      </w:r>
    </w:p>
    <w:p w14:paraId="712AEA39" w14:textId="77777777" w:rsidR="003F60ED" w:rsidRPr="00082DB6" w:rsidRDefault="003F60ED" w:rsidP="003F60ED"/>
    <w:p w14:paraId="712AEA3A" w14:textId="77777777" w:rsidR="003F60ED" w:rsidRPr="00082DB6" w:rsidRDefault="003F60ED" w:rsidP="003F60ED">
      <w:r w:rsidRPr="00082DB6">
        <w:t>However, some companies have expressed views on using the ‘number of good beams’ as a scaling factor to modify the cell quality</w:t>
      </w:r>
      <w:r w:rsidR="00EB69BD">
        <w:t xml:space="preserve"> </w:t>
      </w:r>
      <w:r w:rsidR="00EB69BD">
        <w:fldChar w:fldCharType="begin"/>
      </w:r>
      <w:r w:rsidR="00EB69BD">
        <w:instrText xml:space="preserve"> REF _Ref503179901 \r \h </w:instrText>
      </w:r>
      <w:r w:rsidR="00EB69BD">
        <w:fldChar w:fldCharType="separate"/>
      </w:r>
      <w:r w:rsidR="00EB69BD">
        <w:t>[3]</w:t>
      </w:r>
      <w:r w:rsidR="00EB69BD">
        <w:fldChar w:fldCharType="end"/>
      </w:r>
      <w:r w:rsidRPr="00082DB6">
        <w:t>. In this contribution, we try to analy</w:t>
      </w:r>
      <w:r w:rsidR="00EB69BD">
        <w:t>z</w:t>
      </w:r>
      <w:r w:rsidRPr="00082DB6">
        <w:t>e the impact of such scaling on the cell quality parameters.</w:t>
      </w:r>
    </w:p>
    <w:p w14:paraId="712AEA3B" w14:textId="77777777" w:rsidR="004000E8" w:rsidRPr="00CE0424" w:rsidRDefault="004000E8" w:rsidP="00CE0424">
      <w:pPr>
        <w:pStyle w:val="Heading1"/>
      </w:pPr>
      <w:bookmarkStart w:id="1" w:name="_Ref178064866"/>
      <w:r w:rsidRPr="00CE0424">
        <w:lastRenderedPageBreak/>
        <w:t>Discussion</w:t>
      </w:r>
      <w:bookmarkEnd w:id="1"/>
    </w:p>
    <w:p w14:paraId="712AEA3C" w14:textId="77777777" w:rsidR="00EB69BD" w:rsidRDefault="00EB69BD" w:rsidP="00EB69BD">
      <w:pPr>
        <w:pStyle w:val="Heading2"/>
      </w:pPr>
      <w:bookmarkStart w:id="2" w:name="_Ref503180638"/>
      <w:bookmarkStart w:id="3" w:name="_Ref190406817"/>
      <w:bookmarkStart w:id="4" w:name="_Toc226862296"/>
      <w:bookmarkStart w:id="5" w:name="_Toc347823621"/>
      <w:bookmarkStart w:id="6" w:name="_Toc347824073"/>
      <w:bookmarkStart w:id="7" w:name="_Toc347824246"/>
      <w:r>
        <w:t>Methods for RRM measurement scaling based on #</w:t>
      </w:r>
      <w:proofErr w:type="spellStart"/>
      <w:r>
        <w:t>Goodbeams</w:t>
      </w:r>
      <w:bookmarkEnd w:id="2"/>
      <w:proofErr w:type="spellEnd"/>
    </w:p>
    <w:p w14:paraId="712AEA3D" w14:textId="77777777" w:rsidR="00EB69BD" w:rsidRPr="00082DB6" w:rsidRDefault="00EB69BD" w:rsidP="00EB69BD">
      <w:pPr>
        <w:pStyle w:val="BodyText"/>
      </w:pPr>
      <w:r>
        <w:t xml:space="preserve">In the contribution </w:t>
      </w:r>
      <w:r>
        <w:fldChar w:fldCharType="begin"/>
      </w:r>
      <w:r>
        <w:instrText xml:space="preserve"> REF _Ref503179901 \r \h </w:instrText>
      </w:r>
      <w:r>
        <w:fldChar w:fldCharType="separate"/>
      </w:r>
      <w:r>
        <w:t>[3]</w:t>
      </w:r>
      <w:r>
        <w:fldChar w:fldCharType="end"/>
      </w:r>
      <w:r w:rsidRPr="00082DB6">
        <w:t xml:space="preserve">, two different methods of impacting the cell level RRM measurement are discussed. </w:t>
      </w:r>
    </w:p>
    <w:p w14:paraId="712AEA3E" w14:textId="77777777" w:rsidR="00EB69BD" w:rsidRDefault="00EB69BD" w:rsidP="00EB69BD">
      <w:pPr>
        <w:pStyle w:val="BodyText"/>
        <w:numPr>
          <w:ilvl w:val="0"/>
          <w:numId w:val="16"/>
        </w:numPr>
      </w:pPr>
      <w:r>
        <w:t>Alternative 1: Adjust the cell quality</w:t>
      </w:r>
    </w:p>
    <w:p w14:paraId="712AEA3F" w14:textId="77777777" w:rsidR="00EB69BD" w:rsidRPr="00082DB6" w:rsidRDefault="00EB69BD" w:rsidP="00EB69BD">
      <w:pPr>
        <w:pStyle w:val="BodyText"/>
        <w:ind w:left="720"/>
      </w:pPr>
      <w:r w:rsidRPr="00082DB6">
        <w:t>In this alternative, an offset scaled based on the number of good beams is added to the cell quality derived as the average of ‘N’ beams.</w:t>
      </w:r>
    </w:p>
    <w:p w14:paraId="712AEA40" w14:textId="77777777" w:rsidR="00EB69BD" w:rsidRDefault="00CF1FFE" w:rsidP="00EB69BD">
      <w:pPr>
        <w:pStyle w:val="BodyText"/>
        <w:ind w:left="720"/>
      </w:pPr>
      <m:oMathPara>
        <m:oMath>
          <m:sSub>
            <m:sSubPr>
              <m:ctrlPr>
                <w:rPr>
                  <w:rFonts w:ascii="Cambria Math" w:hAnsi="Cambria Math"/>
                  <w:i/>
                </w:rPr>
              </m:ctrlPr>
            </m:sSubPr>
            <m:e>
              <m:r>
                <m:rPr>
                  <m:nor/>
                </m:rPr>
                <w:rPr>
                  <w:rFonts w:ascii="Cambria Math" w:hAnsi="Cambria Math"/>
                </w:rPr>
                <m:t>Cell Quality</m:t>
              </m:r>
            </m:e>
            <m:sub>
              <m:r>
                <m:rPr>
                  <m:nor/>
                </m:rPr>
                <w:rPr>
                  <w:rFonts w:ascii="Cambria Math" w:hAnsi="Cambria Math"/>
                </w:rPr>
                <m:t>final</m:t>
              </m:r>
            </m:sub>
          </m:sSub>
          <m:r>
            <w:rPr>
              <w:rFonts w:ascii="Cambria Math" w:hAnsi="Cambria Math"/>
            </w:rPr>
            <m:t>=</m:t>
          </m:r>
          <m:r>
            <m:rPr>
              <m:nor/>
            </m:rPr>
            <w:rPr>
              <w:rFonts w:ascii="Cambria Math" w:hAnsi="Cambria Math"/>
            </w:rPr>
            <m:t>Avg</m:t>
          </m:r>
          <m:d>
            <m:dPr>
              <m:ctrlPr>
                <w:rPr>
                  <w:rFonts w:ascii="Cambria Math" w:hAnsi="Cambria Math"/>
                  <w:i/>
                </w:rPr>
              </m:ctrlPr>
            </m:dPr>
            <m:e>
              <m:r>
                <w:rPr>
                  <w:rFonts w:ascii="Cambria Math" w:hAnsi="Cambria Math"/>
                </w:rPr>
                <m:t xml:space="preserve">N </m:t>
              </m:r>
              <m:r>
                <m:rPr>
                  <m:nor/>
                </m:rPr>
                <w:rPr>
                  <w:rFonts w:ascii="Cambria Math" w:hAnsi="Cambria Math"/>
                </w:rPr>
                <m:t>beams</m:t>
              </m:r>
            </m:e>
          </m:d>
          <m:r>
            <w:rPr>
              <w:rFonts w:ascii="Cambria Math" w:hAnsi="Cambria Math"/>
            </w:rPr>
            <m:t>+</m:t>
          </m:r>
          <m:r>
            <m:rPr>
              <m:nor/>
            </m:rPr>
            <w:rPr>
              <w:rFonts w:ascii="Cambria Math" w:hAnsi="Cambria Math"/>
            </w:rPr>
            <m:t>offset</m:t>
          </m:r>
          <m:r>
            <w:rPr>
              <w:rFonts w:ascii="Cambria Math" w:hAnsi="Cambria Math"/>
            </w:rPr>
            <m:t>*</m:t>
          </m:r>
          <m:d>
            <m:dPr>
              <m:ctrlPr>
                <w:rPr>
                  <w:rFonts w:ascii="Cambria Math" w:hAnsi="Cambria Math"/>
                  <w:i/>
                </w:rPr>
              </m:ctrlPr>
            </m:dPr>
            <m:e>
              <m:r>
                <w:rPr>
                  <w:rFonts w:ascii="Cambria Math" w:hAnsi="Cambria Math"/>
                </w:rPr>
                <m:t>#</m:t>
              </m:r>
              <m:r>
                <m:rPr>
                  <m:nor/>
                </m:rPr>
                <w:rPr>
                  <w:rFonts w:ascii="Cambria Math" w:hAnsi="Cambria Math"/>
                </w:rPr>
                <m:t>GoodBeams</m:t>
              </m:r>
              <m:r>
                <w:rPr>
                  <w:rFonts w:ascii="Cambria Math" w:hAnsi="Cambria Math"/>
                </w:rPr>
                <m:t>-1</m:t>
              </m:r>
            </m:e>
          </m:d>
        </m:oMath>
      </m:oMathPara>
    </w:p>
    <w:p w14:paraId="712AEA41" w14:textId="5A2AF30E" w:rsidR="00EB69BD" w:rsidRPr="00082DB6" w:rsidRDefault="00EB69BD" w:rsidP="00EB69BD">
      <w:pPr>
        <w:pStyle w:val="BodyText"/>
        <w:numPr>
          <w:ilvl w:val="0"/>
          <w:numId w:val="16"/>
        </w:numPr>
      </w:pPr>
      <w:r w:rsidRPr="00082DB6">
        <w:t>Alternative 2:  Adjust the report triggering parameters</w:t>
      </w:r>
      <w:r w:rsidR="003765AF">
        <w:t>, e.g.</w:t>
      </w:r>
      <w:r w:rsidRPr="00082DB6">
        <w:t xml:space="preserve"> triggering threshold, TTT</w:t>
      </w:r>
      <w:r w:rsidR="003765AF">
        <w:t xml:space="preserve"> timer length</w:t>
      </w:r>
      <w:r w:rsidR="002526C1">
        <w:t>,</w:t>
      </w:r>
      <w:r w:rsidR="003765AF">
        <w:t xml:space="preserve"> based on the actual “good” beams</w:t>
      </w:r>
      <w:r w:rsidRPr="00082DB6">
        <w:t>.</w:t>
      </w:r>
    </w:p>
    <w:p w14:paraId="712AEA42" w14:textId="5C326EBC" w:rsidR="00EB69BD" w:rsidRPr="00082DB6" w:rsidRDefault="00EB69BD" w:rsidP="00EB69BD">
      <w:pPr>
        <w:pStyle w:val="BodyText"/>
        <w:ind w:left="720"/>
      </w:pPr>
      <w:r w:rsidRPr="00082DB6">
        <w:t xml:space="preserve">In this alternative, the triggering threshold (A3 offset) and/or TTT are scaled depending on number of good beams from the serving cell and the </w:t>
      </w:r>
      <w:proofErr w:type="spellStart"/>
      <w:r w:rsidRPr="00082DB6">
        <w:t>neighbouring</w:t>
      </w:r>
      <w:proofErr w:type="spellEnd"/>
      <w:r w:rsidRPr="00082DB6">
        <w:t xml:space="preserve"> cell. In this alternative, the UE will consider the </w:t>
      </w:r>
      <w:r w:rsidRPr="00082DB6">
        <w:rPr>
          <w:i/>
        </w:rPr>
        <w:t>#</w:t>
      </w:r>
      <w:proofErr w:type="spellStart"/>
      <w:r w:rsidRPr="00082DB6">
        <w:rPr>
          <w:i/>
        </w:rPr>
        <w:t>GoodBeams</w:t>
      </w:r>
      <w:proofErr w:type="spellEnd"/>
      <w:r w:rsidRPr="00082DB6">
        <w:t xml:space="preserve"> while evaluating the event conditions. However, it is worth noting that this will also fall in to the same category as that of alternative</w:t>
      </w:r>
      <w:r w:rsidR="002526C1">
        <w:t xml:space="preserve"> </w:t>
      </w:r>
      <w:r w:rsidRPr="00082DB6">
        <w:t>1 if we consider only the scaling of threshold/offset values. For example, the A3 event in a</w:t>
      </w:r>
      <w:r w:rsidR="002526C1">
        <w:t>n</w:t>
      </w:r>
      <w:r w:rsidRPr="00082DB6">
        <w:t xml:space="preserve"> intra-frequency measurement reporting scenario;</w:t>
      </w:r>
    </w:p>
    <w:p w14:paraId="712AEA43" w14:textId="77777777" w:rsidR="00EB69BD" w:rsidRPr="00082DB6" w:rsidRDefault="00EB69BD" w:rsidP="00EB69BD">
      <w:pPr>
        <w:pStyle w:val="BodyText"/>
        <w:ind w:left="720"/>
      </w:pPr>
    </w:p>
    <w:p w14:paraId="712AEA44" w14:textId="77777777" w:rsidR="00EB69BD" w:rsidRPr="002526C1" w:rsidRDefault="002526C1" w:rsidP="00EB69BD">
      <w:pPr>
        <w:pStyle w:val="BodyText"/>
        <w:ind w:left="720"/>
      </w:pPr>
      <m:oMathPara>
        <m:oMath>
          <m:r>
            <m:rPr>
              <m:nor/>
            </m:rPr>
            <w:rPr>
              <w:rFonts w:ascii="Cambria Math" w:hAnsi="Cambria Math"/>
            </w:rPr>
            <m:t>Mn</m:t>
          </m:r>
          <m:r>
            <w:rPr>
              <w:rFonts w:ascii="Cambria Math" w:hAnsi="Cambria Math"/>
            </w:rPr>
            <m:t xml:space="preserve">+ </m:t>
          </m:r>
          <m:r>
            <m:rPr>
              <m:nor/>
            </m:rPr>
            <w:rPr>
              <w:rFonts w:ascii="Cambria Math" w:hAnsi="Cambria Math"/>
            </w:rPr>
            <m:t>Ocn</m:t>
          </m:r>
          <m:r>
            <w:rPr>
              <w:rFonts w:ascii="Cambria Math" w:hAnsi="Cambria Math"/>
            </w:rPr>
            <m:t>-</m:t>
          </m:r>
          <m:r>
            <m:rPr>
              <m:nor/>
            </m:rPr>
            <w:rPr>
              <w:rFonts w:ascii="Cambria Math" w:hAnsi="Cambria Math"/>
            </w:rPr>
            <m:t>Hys</m:t>
          </m:r>
          <m:r>
            <w:rPr>
              <w:rFonts w:ascii="Cambria Math" w:hAnsi="Cambria Math"/>
            </w:rPr>
            <m:t>&gt;</m:t>
          </m:r>
          <m:r>
            <m:rPr>
              <m:nor/>
            </m:rPr>
            <w:rPr>
              <w:rFonts w:ascii="Cambria Math" w:hAnsi="Cambria Math"/>
            </w:rPr>
            <m:t>Mp</m:t>
          </m:r>
          <m:r>
            <w:rPr>
              <w:rFonts w:ascii="Cambria Math" w:hAnsi="Cambria Math"/>
            </w:rPr>
            <m:t>+</m:t>
          </m:r>
          <m:r>
            <m:rPr>
              <m:nor/>
            </m:rPr>
            <w:rPr>
              <w:rFonts w:ascii="Cambria Math" w:hAnsi="Cambria Math"/>
            </w:rPr>
            <m:t>Ocp</m:t>
          </m:r>
          <m:r>
            <w:rPr>
              <w:rFonts w:ascii="Cambria Math" w:hAnsi="Cambria Math"/>
            </w:rPr>
            <m:t>+</m:t>
          </m:r>
          <m:r>
            <m:rPr>
              <m:nor/>
            </m:rPr>
            <w:rPr>
              <w:rFonts w:ascii="Cambria Math" w:hAnsi="Cambria Math"/>
            </w:rPr>
            <m:t>Off</m:t>
          </m:r>
        </m:oMath>
      </m:oMathPara>
    </w:p>
    <w:p w14:paraId="712AEA45" w14:textId="77777777" w:rsidR="00EB69BD" w:rsidRPr="00082DB6" w:rsidRDefault="002526C1" w:rsidP="00EB69BD">
      <w:pPr>
        <w:pStyle w:val="BodyText"/>
        <w:ind w:left="720"/>
        <w:rPr>
          <w:b/>
        </w:rPr>
      </w:pPr>
      <w:r>
        <w:t>w</w:t>
      </w:r>
      <w:r w:rsidR="00EB69BD" w:rsidRPr="00082DB6">
        <w:t xml:space="preserve">here </w:t>
      </w:r>
      <w:proofErr w:type="spellStart"/>
      <m:oMath>
        <m:r>
          <m:rPr>
            <m:nor/>
          </m:rPr>
          <w:rPr>
            <w:rFonts w:ascii="Cambria Math" w:hAnsi="Cambria Math"/>
          </w:rPr>
          <m:t>Ocn</m:t>
        </m:r>
        <w:proofErr w:type="spellEnd"/>
        <m:r>
          <w:rPr>
            <w:rFonts w:ascii="Cambria Math" w:hAnsi="Cambria Math"/>
          </w:rPr>
          <m:t xml:space="preserve">= </m:t>
        </m:r>
        <m:sSub>
          <m:sSubPr>
            <m:ctrlPr>
              <w:rPr>
                <w:rFonts w:ascii="Cambria Math" w:hAnsi="Cambria Math"/>
                <w:i/>
              </w:rPr>
            </m:ctrlPr>
          </m:sSubPr>
          <m:e>
            <m:r>
              <m:rPr>
                <m:nor/>
              </m:rPr>
              <w:rPr>
                <w:rFonts w:ascii="Cambria Math" w:hAnsi="Cambria Math"/>
              </w:rPr>
              <m:t>Ocn</m:t>
            </m:r>
          </m:e>
          <m:sub>
            <m:r>
              <m:rPr>
                <m:nor/>
              </m:rPr>
              <w:rPr>
                <w:rFonts w:ascii="Cambria Math" w:hAnsi="Cambria Math"/>
              </w:rPr>
              <m:t>default</m:t>
            </m:r>
            <m:r>
              <w:rPr>
                <w:rFonts w:ascii="Cambria Math" w:hAnsi="Cambria Math"/>
              </w:rPr>
              <m:t xml:space="preserve"> </m:t>
            </m:r>
          </m:sub>
        </m:sSub>
        <m:r>
          <w:rPr>
            <w:rFonts w:ascii="Cambria Math" w:hAnsi="Cambria Math"/>
          </w:rPr>
          <m:t>*(#</m:t>
        </m:r>
        <m:sSub>
          <m:sSubPr>
            <m:ctrlPr>
              <w:rPr>
                <w:rFonts w:ascii="Cambria Math" w:hAnsi="Cambria Math"/>
                <w:i/>
              </w:rPr>
            </m:ctrlPr>
          </m:sSubPr>
          <m:e>
            <m:r>
              <m:rPr>
                <m:nor/>
              </m:rPr>
              <w:rPr>
                <w:rFonts w:ascii="Cambria Math" w:hAnsi="Cambria Math"/>
              </w:rPr>
              <m:t>GoodBeams</m:t>
            </m:r>
          </m:e>
          <m:sub>
            <m:r>
              <m:rPr>
                <m:nor/>
              </m:rPr>
              <w:rPr>
                <w:rFonts w:ascii="Cambria Math" w:hAnsi="Cambria Math"/>
              </w:rPr>
              <m:t>n</m:t>
            </m:r>
          </m:sub>
        </m:sSub>
        <m:r>
          <w:rPr>
            <w:rFonts w:ascii="Cambria Math" w:hAnsi="Cambria Math"/>
          </w:rPr>
          <m:t>-1)</m:t>
        </m:r>
      </m:oMath>
      <w:r w:rsidR="00EB69BD" w:rsidRPr="00082DB6">
        <w:t xml:space="preserve"> and </w:t>
      </w:r>
      <w:proofErr w:type="spellStart"/>
      <m:oMath>
        <m:r>
          <m:rPr>
            <m:nor/>
          </m:rPr>
          <w:rPr>
            <w:rFonts w:ascii="Cambria Math" w:hAnsi="Cambria Math"/>
          </w:rPr>
          <m:t>Ocp</m:t>
        </m:r>
        <w:proofErr w:type="spellEnd"/>
        <m:r>
          <w:rPr>
            <w:rFonts w:ascii="Cambria Math" w:hAnsi="Cambria Math"/>
          </w:rPr>
          <m:t xml:space="preserve">= </m:t>
        </m:r>
        <m:sSub>
          <m:sSubPr>
            <m:ctrlPr>
              <w:rPr>
                <w:rFonts w:ascii="Cambria Math" w:hAnsi="Cambria Math"/>
                <w:i/>
              </w:rPr>
            </m:ctrlPr>
          </m:sSubPr>
          <m:e>
            <m:r>
              <m:rPr>
                <m:nor/>
              </m:rPr>
              <w:rPr>
                <w:rFonts w:ascii="Cambria Math" w:hAnsi="Cambria Math"/>
              </w:rPr>
              <m:t>Ocp</m:t>
            </m:r>
          </m:e>
          <m:sub>
            <m:r>
              <m:rPr>
                <m:nor/>
              </m:rPr>
              <w:rPr>
                <w:rFonts w:ascii="Cambria Math" w:hAnsi="Cambria Math"/>
              </w:rPr>
              <m:t>default</m:t>
            </m:r>
            <m:r>
              <w:rPr>
                <w:rFonts w:ascii="Cambria Math" w:hAnsi="Cambria Math"/>
              </w:rPr>
              <m:t xml:space="preserve"> </m:t>
            </m:r>
          </m:sub>
        </m:sSub>
        <m:r>
          <w:rPr>
            <w:rFonts w:ascii="Cambria Math" w:hAnsi="Cambria Math"/>
          </w:rPr>
          <m:t>*(#</m:t>
        </m:r>
        <m:sSub>
          <m:sSubPr>
            <m:ctrlPr>
              <w:rPr>
                <w:rFonts w:ascii="Cambria Math" w:hAnsi="Cambria Math"/>
                <w:i/>
              </w:rPr>
            </m:ctrlPr>
          </m:sSubPr>
          <m:e>
            <m:r>
              <m:rPr>
                <m:nor/>
              </m:rPr>
              <w:rPr>
                <w:rFonts w:ascii="Cambria Math" w:hAnsi="Cambria Math"/>
              </w:rPr>
              <m:t>GoodBeams</m:t>
            </m:r>
          </m:e>
          <m:sub>
            <m:r>
              <m:rPr>
                <m:nor/>
              </m:rPr>
              <w:rPr>
                <w:rFonts w:ascii="Cambria Math" w:hAnsi="Cambria Math"/>
              </w:rPr>
              <m:t>p</m:t>
            </m:r>
          </m:sub>
        </m:sSub>
        <m:r>
          <w:rPr>
            <w:rFonts w:ascii="Cambria Math" w:hAnsi="Cambria Math"/>
          </w:rPr>
          <m:t>-1)</m:t>
        </m:r>
      </m:oMath>
      <w:r>
        <w:t>.</w:t>
      </w:r>
    </w:p>
    <w:p w14:paraId="712AEA46" w14:textId="77777777" w:rsidR="00EB69BD" w:rsidRDefault="00EB69BD" w:rsidP="00EB69BD">
      <w:pPr>
        <w:pStyle w:val="Proposal"/>
        <w:numPr>
          <w:ilvl w:val="0"/>
          <w:numId w:val="0"/>
        </w:numPr>
        <w:ind w:left="1701"/>
      </w:pPr>
    </w:p>
    <w:p w14:paraId="712AEA47" w14:textId="77777777" w:rsidR="002526C1" w:rsidRDefault="002526C1" w:rsidP="002526C1">
      <w:pPr>
        <w:pStyle w:val="Heading2"/>
      </w:pPr>
      <w:r>
        <w:t>Impact of RRM measurement scaling based on #</w:t>
      </w:r>
      <w:proofErr w:type="spellStart"/>
      <w:r>
        <w:t>GoodBeams</w:t>
      </w:r>
      <w:proofErr w:type="spellEnd"/>
    </w:p>
    <w:p w14:paraId="712AEA48" w14:textId="77777777" w:rsidR="002526C1" w:rsidRPr="00082DB6" w:rsidRDefault="002526C1" w:rsidP="002526C1">
      <w:pPr>
        <w:pStyle w:val="Observation"/>
        <w:numPr>
          <w:ilvl w:val="0"/>
          <w:numId w:val="0"/>
        </w:numPr>
        <w:rPr>
          <w:b w:val="0"/>
        </w:rPr>
      </w:pPr>
      <w:r w:rsidRPr="00082DB6">
        <w:rPr>
          <w:b w:val="0"/>
        </w:rPr>
        <w:t>A simple scenario is considered to evaluate the impacts of such a scaling method. In this scenario, the following configuration is provided to the UE.</w:t>
      </w:r>
    </w:p>
    <w:tbl>
      <w:tblPr>
        <w:tblStyle w:val="TableGrid"/>
        <w:tblW w:w="0" w:type="auto"/>
        <w:jc w:val="center"/>
        <w:tblLook w:val="04A0" w:firstRow="1" w:lastRow="0" w:firstColumn="1" w:lastColumn="0" w:noHBand="0" w:noVBand="1"/>
      </w:tblPr>
      <w:tblGrid>
        <w:gridCol w:w="2091"/>
        <w:gridCol w:w="2092"/>
      </w:tblGrid>
      <w:tr w:rsidR="002526C1" w:rsidRPr="001A0BB6" w14:paraId="712AEA4B" w14:textId="77777777" w:rsidTr="00ED48EA">
        <w:trPr>
          <w:trHeight w:val="231"/>
          <w:jc w:val="center"/>
        </w:trPr>
        <w:tc>
          <w:tcPr>
            <w:tcW w:w="2091" w:type="dxa"/>
          </w:tcPr>
          <w:p w14:paraId="712AEA49" w14:textId="77777777" w:rsidR="002526C1" w:rsidRPr="001A0BB6" w:rsidRDefault="002526C1" w:rsidP="00ED48EA">
            <w:pPr>
              <w:pStyle w:val="Observation"/>
              <w:numPr>
                <w:ilvl w:val="0"/>
                <w:numId w:val="0"/>
              </w:numPr>
            </w:pPr>
            <w:r w:rsidRPr="001A0BB6">
              <w:t>RRM Parameter</w:t>
            </w:r>
          </w:p>
        </w:tc>
        <w:tc>
          <w:tcPr>
            <w:tcW w:w="2092" w:type="dxa"/>
          </w:tcPr>
          <w:p w14:paraId="712AEA4A" w14:textId="77777777" w:rsidR="002526C1" w:rsidRPr="001A0BB6" w:rsidRDefault="002526C1" w:rsidP="00ED48EA">
            <w:pPr>
              <w:pStyle w:val="Observation"/>
              <w:numPr>
                <w:ilvl w:val="0"/>
                <w:numId w:val="0"/>
              </w:numPr>
            </w:pPr>
            <w:r w:rsidRPr="001A0BB6">
              <w:t>Parameter value</w:t>
            </w:r>
          </w:p>
        </w:tc>
      </w:tr>
      <w:tr w:rsidR="002526C1" w14:paraId="712AEA4E" w14:textId="77777777" w:rsidTr="00ED48EA">
        <w:trPr>
          <w:trHeight w:val="231"/>
          <w:jc w:val="center"/>
        </w:trPr>
        <w:tc>
          <w:tcPr>
            <w:tcW w:w="2091" w:type="dxa"/>
          </w:tcPr>
          <w:p w14:paraId="712AEA4C" w14:textId="77777777" w:rsidR="002526C1" w:rsidRDefault="002526C1" w:rsidP="00ED48EA">
            <w:pPr>
              <w:pStyle w:val="Observation"/>
              <w:numPr>
                <w:ilvl w:val="0"/>
                <w:numId w:val="0"/>
              </w:numPr>
              <w:rPr>
                <w:b w:val="0"/>
              </w:rPr>
            </w:pPr>
            <w:r>
              <w:rPr>
                <w:b w:val="0"/>
              </w:rPr>
              <w:t xml:space="preserve">Threshold </w:t>
            </w:r>
          </w:p>
        </w:tc>
        <w:tc>
          <w:tcPr>
            <w:tcW w:w="2092" w:type="dxa"/>
          </w:tcPr>
          <w:p w14:paraId="712AEA4D" w14:textId="77777777" w:rsidR="002526C1" w:rsidRDefault="002526C1" w:rsidP="00ED48EA">
            <w:pPr>
              <w:pStyle w:val="Observation"/>
              <w:numPr>
                <w:ilvl w:val="0"/>
                <w:numId w:val="0"/>
              </w:numPr>
              <w:rPr>
                <w:b w:val="0"/>
              </w:rPr>
            </w:pPr>
            <w:r>
              <w:rPr>
                <w:b w:val="0"/>
              </w:rPr>
              <w:t>-65 dBm</w:t>
            </w:r>
          </w:p>
        </w:tc>
      </w:tr>
      <w:tr w:rsidR="002526C1" w14:paraId="712AEA51" w14:textId="77777777" w:rsidTr="00ED48EA">
        <w:trPr>
          <w:trHeight w:val="231"/>
          <w:jc w:val="center"/>
        </w:trPr>
        <w:tc>
          <w:tcPr>
            <w:tcW w:w="2091" w:type="dxa"/>
          </w:tcPr>
          <w:p w14:paraId="712AEA4F" w14:textId="77777777" w:rsidR="002526C1" w:rsidRDefault="002526C1" w:rsidP="00ED48EA">
            <w:pPr>
              <w:pStyle w:val="Observation"/>
              <w:numPr>
                <w:ilvl w:val="0"/>
                <w:numId w:val="0"/>
              </w:numPr>
              <w:rPr>
                <w:b w:val="0"/>
              </w:rPr>
            </w:pPr>
            <w:r>
              <w:rPr>
                <w:b w:val="0"/>
              </w:rPr>
              <w:t>N</w:t>
            </w:r>
          </w:p>
        </w:tc>
        <w:tc>
          <w:tcPr>
            <w:tcW w:w="2092" w:type="dxa"/>
          </w:tcPr>
          <w:p w14:paraId="712AEA50" w14:textId="77777777" w:rsidR="002526C1" w:rsidRDefault="002526C1" w:rsidP="00ED48EA">
            <w:pPr>
              <w:pStyle w:val="Observation"/>
              <w:numPr>
                <w:ilvl w:val="0"/>
                <w:numId w:val="0"/>
              </w:numPr>
              <w:rPr>
                <w:b w:val="0"/>
              </w:rPr>
            </w:pPr>
            <w:r>
              <w:rPr>
                <w:b w:val="0"/>
              </w:rPr>
              <w:t>3</w:t>
            </w:r>
          </w:p>
        </w:tc>
      </w:tr>
      <w:tr w:rsidR="002526C1" w14:paraId="712AEA54" w14:textId="77777777" w:rsidTr="00ED48EA">
        <w:trPr>
          <w:trHeight w:val="231"/>
          <w:jc w:val="center"/>
        </w:trPr>
        <w:tc>
          <w:tcPr>
            <w:tcW w:w="2091" w:type="dxa"/>
          </w:tcPr>
          <w:p w14:paraId="712AEA52" w14:textId="77777777" w:rsidR="002526C1" w:rsidRDefault="002526C1" w:rsidP="00ED48EA">
            <w:pPr>
              <w:pStyle w:val="Observation"/>
              <w:numPr>
                <w:ilvl w:val="0"/>
                <w:numId w:val="0"/>
              </w:numPr>
              <w:rPr>
                <w:b w:val="0"/>
              </w:rPr>
            </w:pPr>
            <w:r>
              <w:rPr>
                <w:b w:val="0"/>
              </w:rPr>
              <w:t>offset</w:t>
            </w:r>
          </w:p>
        </w:tc>
        <w:tc>
          <w:tcPr>
            <w:tcW w:w="2092" w:type="dxa"/>
          </w:tcPr>
          <w:p w14:paraId="712AEA53" w14:textId="77777777" w:rsidR="002526C1" w:rsidRDefault="002526C1" w:rsidP="00ED48EA">
            <w:pPr>
              <w:pStyle w:val="Observation"/>
              <w:numPr>
                <w:ilvl w:val="0"/>
                <w:numId w:val="0"/>
              </w:numPr>
              <w:rPr>
                <w:b w:val="0"/>
              </w:rPr>
            </w:pPr>
            <w:r>
              <w:rPr>
                <w:b w:val="0"/>
              </w:rPr>
              <w:t>3 dBm</w:t>
            </w:r>
          </w:p>
        </w:tc>
      </w:tr>
    </w:tbl>
    <w:p w14:paraId="712AEA55" w14:textId="77777777" w:rsidR="002526C1" w:rsidRDefault="002526C1" w:rsidP="002526C1">
      <w:pPr>
        <w:pStyle w:val="Observation"/>
        <w:numPr>
          <w:ilvl w:val="0"/>
          <w:numId w:val="0"/>
        </w:numPr>
        <w:rPr>
          <w:b w:val="0"/>
        </w:rPr>
      </w:pPr>
    </w:p>
    <w:p w14:paraId="712AEA56" w14:textId="77777777" w:rsidR="002526C1" w:rsidRPr="00082DB6" w:rsidRDefault="002526C1" w:rsidP="002526C1">
      <w:pPr>
        <w:pStyle w:val="Observation"/>
        <w:numPr>
          <w:ilvl w:val="0"/>
          <w:numId w:val="0"/>
        </w:numPr>
        <w:rPr>
          <w:b w:val="0"/>
        </w:rPr>
      </w:pPr>
      <w:r w:rsidRPr="00082DB6">
        <w:rPr>
          <w:b w:val="0"/>
        </w:rPr>
        <w:t xml:space="preserve">Based on these parameters, the UE shall perform the RRM measurements. The beams as heard by the UE are as </w:t>
      </w:r>
      <w:r w:rsidR="00FD60F4">
        <w:rPr>
          <w:b w:val="0"/>
        </w:rPr>
        <w:t xml:space="preserve">per the table </w:t>
      </w:r>
      <w:r w:rsidRPr="00082DB6">
        <w:rPr>
          <w:b w:val="0"/>
        </w:rPr>
        <w:t>below.</w:t>
      </w:r>
    </w:p>
    <w:tbl>
      <w:tblPr>
        <w:tblStyle w:val="TableGrid"/>
        <w:tblW w:w="0" w:type="auto"/>
        <w:jc w:val="center"/>
        <w:tblLook w:val="04A0" w:firstRow="1" w:lastRow="0" w:firstColumn="1" w:lastColumn="0" w:noHBand="0" w:noVBand="1"/>
      </w:tblPr>
      <w:tblGrid>
        <w:gridCol w:w="1239"/>
        <w:gridCol w:w="950"/>
        <w:gridCol w:w="2084"/>
      </w:tblGrid>
      <w:tr w:rsidR="002526C1" w:rsidRPr="0008781C" w14:paraId="712AEA5A" w14:textId="77777777" w:rsidTr="00ED48EA">
        <w:trPr>
          <w:jc w:val="center"/>
        </w:trPr>
        <w:tc>
          <w:tcPr>
            <w:tcW w:w="1239" w:type="dxa"/>
          </w:tcPr>
          <w:p w14:paraId="712AEA57" w14:textId="77777777" w:rsidR="002526C1" w:rsidRPr="0008781C" w:rsidRDefault="002526C1" w:rsidP="00ED48EA">
            <w:pPr>
              <w:pStyle w:val="Observation"/>
              <w:numPr>
                <w:ilvl w:val="0"/>
                <w:numId w:val="0"/>
              </w:numPr>
            </w:pPr>
            <w:r w:rsidRPr="0008781C">
              <w:t>Beam IDs</w:t>
            </w:r>
          </w:p>
        </w:tc>
        <w:tc>
          <w:tcPr>
            <w:tcW w:w="950" w:type="dxa"/>
          </w:tcPr>
          <w:p w14:paraId="712AEA58" w14:textId="77777777" w:rsidR="002526C1" w:rsidRPr="0008781C" w:rsidRDefault="002526C1" w:rsidP="00ED48EA">
            <w:pPr>
              <w:pStyle w:val="Observation"/>
              <w:numPr>
                <w:ilvl w:val="0"/>
                <w:numId w:val="0"/>
              </w:numPr>
            </w:pPr>
            <w:r w:rsidRPr="0008781C">
              <w:t>Cell ID</w:t>
            </w:r>
          </w:p>
        </w:tc>
        <w:tc>
          <w:tcPr>
            <w:tcW w:w="2084" w:type="dxa"/>
          </w:tcPr>
          <w:p w14:paraId="712AEA59" w14:textId="77777777" w:rsidR="002526C1" w:rsidRPr="0008781C" w:rsidRDefault="002526C1" w:rsidP="00ED48EA">
            <w:pPr>
              <w:pStyle w:val="Observation"/>
              <w:numPr>
                <w:ilvl w:val="0"/>
                <w:numId w:val="0"/>
              </w:numPr>
            </w:pPr>
            <w:r w:rsidRPr="0008781C">
              <w:t>RSRP value</w:t>
            </w:r>
            <w:r>
              <w:t xml:space="preserve"> (dBm)</w:t>
            </w:r>
          </w:p>
        </w:tc>
      </w:tr>
      <w:tr w:rsidR="002526C1" w14:paraId="712AEA5E" w14:textId="77777777" w:rsidTr="00ED48EA">
        <w:trPr>
          <w:jc w:val="center"/>
        </w:trPr>
        <w:tc>
          <w:tcPr>
            <w:tcW w:w="1239" w:type="dxa"/>
          </w:tcPr>
          <w:p w14:paraId="712AEA5B" w14:textId="77777777" w:rsidR="002526C1" w:rsidRDefault="002526C1" w:rsidP="00ED48EA">
            <w:pPr>
              <w:pStyle w:val="Observation"/>
              <w:numPr>
                <w:ilvl w:val="0"/>
                <w:numId w:val="0"/>
              </w:numPr>
              <w:rPr>
                <w:b w:val="0"/>
              </w:rPr>
            </w:pPr>
            <w:r>
              <w:rPr>
                <w:b w:val="0"/>
              </w:rPr>
              <w:lastRenderedPageBreak/>
              <w:t>A1</w:t>
            </w:r>
          </w:p>
        </w:tc>
        <w:tc>
          <w:tcPr>
            <w:tcW w:w="950" w:type="dxa"/>
          </w:tcPr>
          <w:p w14:paraId="712AEA5C" w14:textId="77777777" w:rsidR="002526C1" w:rsidRDefault="002526C1" w:rsidP="00ED48EA">
            <w:pPr>
              <w:pStyle w:val="Observation"/>
              <w:numPr>
                <w:ilvl w:val="0"/>
                <w:numId w:val="0"/>
              </w:numPr>
              <w:rPr>
                <w:b w:val="0"/>
              </w:rPr>
            </w:pPr>
            <w:r>
              <w:rPr>
                <w:b w:val="0"/>
              </w:rPr>
              <w:t>A</w:t>
            </w:r>
          </w:p>
        </w:tc>
        <w:tc>
          <w:tcPr>
            <w:tcW w:w="2084" w:type="dxa"/>
          </w:tcPr>
          <w:p w14:paraId="712AEA5D" w14:textId="77777777" w:rsidR="002526C1" w:rsidRDefault="002526C1" w:rsidP="00ED48EA">
            <w:pPr>
              <w:pStyle w:val="Observation"/>
              <w:numPr>
                <w:ilvl w:val="0"/>
                <w:numId w:val="0"/>
              </w:numPr>
              <w:rPr>
                <w:b w:val="0"/>
              </w:rPr>
            </w:pPr>
            <w:r>
              <w:rPr>
                <w:b w:val="0"/>
              </w:rPr>
              <w:t>-60</w:t>
            </w:r>
          </w:p>
        </w:tc>
      </w:tr>
      <w:tr w:rsidR="002526C1" w14:paraId="712AEA62" w14:textId="77777777" w:rsidTr="00ED48EA">
        <w:trPr>
          <w:jc w:val="center"/>
        </w:trPr>
        <w:tc>
          <w:tcPr>
            <w:tcW w:w="1239" w:type="dxa"/>
          </w:tcPr>
          <w:p w14:paraId="712AEA5F" w14:textId="77777777" w:rsidR="002526C1" w:rsidRDefault="002526C1" w:rsidP="00ED48EA">
            <w:pPr>
              <w:pStyle w:val="Observation"/>
              <w:numPr>
                <w:ilvl w:val="0"/>
                <w:numId w:val="0"/>
              </w:numPr>
              <w:rPr>
                <w:b w:val="0"/>
              </w:rPr>
            </w:pPr>
            <w:r>
              <w:rPr>
                <w:b w:val="0"/>
              </w:rPr>
              <w:t>A2</w:t>
            </w:r>
          </w:p>
        </w:tc>
        <w:tc>
          <w:tcPr>
            <w:tcW w:w="950" w:type="dxa"/>
          </w:tcPr>
          <w:p w14:paraId="712AEA60" w14:textId="77777777" w:rsidR="002526C1" w:rsidRDefault="002526C1" w:rsidP="00ED48EA">
            <w:pPr>
              <w:pStyle w:val="Observation"/>
              <w:numPr>
                <w:ilvl w:val="0"/>
                <w:numId w:val="0"/>
              </w:numPr>
              <w:rPr>
                <w:b w:val="0"/>
              </w:rPr>
            </w:pPr>
            <w:r>
              <w:rPr>
                <w:b w:val="0"/>
              </w:rPr>
              <w:t>A</w:t>
            </w:r>
          </w:p>
        </w:tc>
        <w:tc>
          <w:tcPr>
            <w:tcW w:w="2084" w:type="dxa"/>
          </w:tcPr>
          <w:p w14:paraId="712AEA61" w14:textId="77777777" w:rsidR="002526C1" w:rsidRDefault="002526C1" w:rsidP="00ED48EA">
            <w:pPr>
              <w:pStyle w:val="Observation"/>
              <w:numPr>
                <w:ilvl w:val="0"/>
                <w:numId w:val="0"/>
              </w:numPr>
              <w:rPr>
                <w:b w:val="0"/>
              </w:rPr>
            </w:pPr>
            <w:r>
              <w:rPr>
                <w:b w:val="0"/>
              </w:rPr>
              <w:t>-69</w:t>
            </w:r>
          </w:p>
        </w:tc>
      </w:tr>
      <w:tr w:rsidR="002526C1" w14:paraId="712AEA66" w14:textId="77777777" w:rsidTr="00ED48EA">
        <w:trPr>
          <w:jc w:val="center"/>
        </w:trPr>
        <w:tc>
          <w:tcPr>
            <w:tcW w:w="1239" w:type="dxa"/>
          </w:tcPr>
          <w:p w14:paraId="712AEA63" w14:textId="77777777" w:rsidR="002526C1" w:rsidRDefault="002526C1" w:rsidP="00ED48EA">
            <w:pPr>
              <w:pStyle w:val="Observation"/>
              <w:numPr>
                <w:ilvl w:val="0"/>
                <w:numId w:val="0"/>
              </w:numPr>
              <w:rPr>
                <w:b w:val="0"/>
              </w:rPr>
            </w:pPr>
            <w:r>
              <w:rPr>
                <w:b w:val="0"/>
              </w:rPr>
              <w:t>A3</w:t>
            </w:r>
          </w:p>
        </w:tc>
        <w:tc>
          <w:tcPr>
            <w:tcW w:w="950" w:type="dxa"/>
          </w:tcPr>
          <w:p w14:paraId="712AEA64" w14:textId="77777777" w:rsidR="002526C1" w:rsidRDefault="002526C1" w:rsidP="00ED48EA">
            <w:pPr>
              <w:pStyle w:val="Observation"/>
              <w:numPr>
                <w:ilvl w:val="0"/>
                <w:numId w:val="0"/>
              </w:numPr>
              <w:rPr>
                <w:b w:val="0"/>
              </w:rPr>
            </w:pPr>
            <w:r>
              <w:rPr>
                <w:b w:val="0"/>
              </w:rPr>
              <w:t>A</w:t>
            </w:r>
          </w:p>
        </w:tc>
        <w:tc>
          <w:tcPr>
            <w:tcW w:w="2084" w:type="dxa"/>
          </w:tcPr>
          <w:p w14:paraId="712AEA65" w14:textId="77777777" w:rsidR="002526C1" w:rsidRDefault="002526C1" w:rsidP="00ED48EA">
            <w:pPr>
              <w:pStyle w:val="Observation"/>
              <w:numPr>
                <w:ilvl w:val="0"/>
                <w:numId w:val="0"/>
              </w:numPr>
              <w:rPr>
                <w:b w:val="0"/>
              </w:rPr>
            </w:pPr>
            <w:r>
              <w:rPr>
                <w:b w:val="0"/>
              </w:rPr>
              <w:t>-71</w:t>
            </w:r>
          </w:p>
        </w:tc>
      </w:tr>
      <w:tr w:rsidR="002526C1" w14:paraId="712AEA6A" w14:textId="77777777" w:rsidTr="00ED48EA">
        <w:trPr>
          <w:jc w:val="center"/>
        </w:trPr>
        <w:tc>
          <w:tcPr>
            <w:tcW w:w="1239" w:type="dxa"/>
          </w:tcPr>
          <w:p w14:paraId="712AEA67" w14:textId="77777777" w:rsidR="002526C1" w:rsidRDefault="002526C1" w:rsidP="00ED48EA">
            <w:pPr>
              <w:pStyle w:val="Observation"/>
              <w:numPr>
                <w:ilvl w:val="0"/>
                <w:numId w:val="0"/>
              </w:numPr>
              <w:rPr>
                <w:b w:val="0"/>
              </w:rPr>
            </w:pPr>
            <w:r>
              <w:rPr>
                <w:b w:val="0"/>
              </w:rPr>
              <w:t>A4</w:t>
            </w:r>
          </w:p>
        </w:tc>
        <w:tc>
          <w:tcPr>
            <w:tcW w:w="950" w:type="dxa"/>
          </w:tcPr>
          <w:p w14:paraId="712AEA68" w14:textId="77777777" w:rsidR="002526C1" w:rsidRDefault="002526C1" w:rsidP="00ED48EA">
            <w:pPr>
              <w:pStyle w:val="Observation"/>
              <w:numPr>
                <w:ilvl w:val="0"/>
                <w:numId w:val="0"/>
              </w:numPr>
              <w:rPr>
                <w:b w:val="0"/>
              </w:rPr>
            </w:pPr>
            <w:r>
              <w:rPr>
                <w:b w:val="0"/>
              </w:rPr>
              <w:t>A</w:t>
            </w:r>
          </w:p>
        </w:tc>
        <w:tc>
          <w:tcPr>
            <w:tcW w:w="2084" w:type="dxa"/>
          </w:tcPr>
          <w:p w14:paraId="712AEA69" w14:textId="77777777" w:rsidR="002526C1" w:rsidRDefault="002526C1" w:rsidP="00ED48EA">
            <w:pPr>
              <w:pStyle w:val="Observation"/>
              <w:numPr>
                <w:ilvl w:val="0"/>
                <w:numId w:val="0"/>
              </w:numPr>
              <w:rPr>
                <w:b w:val="0"/>
              </w:rPr>
            </w:pPr>
            <w:r>
              <w:rPr>
                <w:b w:val="0"/>
              </w:rPr>
              <w:t>-74</w:t>
            </w:r>
          </w:p>
        </w:tc>
      </w:tr>
      <w:tr w:rsidR="002526C1" w14:paraId="712AEA6E" w14:textId="77777777" w:rsidTr="00ED48EA">
        <w:trPr>
          <w:jc w:val="center"/>
        </w:trPr>
        <w:tc>
          <w:tcPr>
            <w:tcW w:w="1239" w:type="dxa"/>
          </w:tcPr>
          <w:p w14:paraId="712AEA6B" w14:textId="77777777" w:rsidR="002526C1" w:rsidRDefault="002526C1" w:rsidP="00ED48EA">
            <w:pPr>
              <w:pStyle w:val="Observation"/>
              <w:numPr>
                <w:ilvl w:val="0"/>
                <w:numId w:val="0"/>
              </w:numPr>
              <w:rPr>
                <w:b w:val="0"/>
              </w:rPr>
            </w:pPr>
          </w:p>
        </w:tc>
        <w:tc>
          <w:tcPr>
            <w:tcW w:w="950" w:type="dxa"/>
          </w:tcPr>
          <w:p w14:paraId="712AEA6C" w14:textId="77777777" w:rsidR="002526C1" w:rsidRDefault="002526C1" w:rsidP="00ED48EA">
            <w:pPr>
              <w:pStyle w:val="Observation"/>
              <w:numPr>
                <w:ilvl w:val="0"/>
                <w:numId w:val="0"/>
              </w:numPr>
              <w:rPr>
                <w:b w:val="0"/>
              </w:rPr>
            </w:pPr>
          </w:p>
        </w:tc>
        <w:tc>
          <w:tcPr>
            <w:tcW w:w="2084" w:type="dxa"/>
          </w:tcPr>
          <w:p w14:paraId="712AEA6D" w14:textId="77777777" w:rsidR="002526C1" w:rsidRDefault="002526C1" w:rsidP="00ED48EA">
            <w:pPr>
              <w:pStyle w:val="Observation"/>
              <w:numPr>
                <w:ilvl w:val="0"/>
                <w:numId w:val="0"/>
              </w:numPr>
              <w:rPr>
                <w:b w:val="0"/>
              </w:rPr>
            </w:pPr>
          </w:p>
        </w:tc>
      </w:tr>
      <w:tr w:rsidR="002526C1" w14:paraId="712AEA72" w14:textId="77777777" w:rsidTr="00ED48EA">
        <w:trPr>
          <w:jc w:val="center"/>
        </w:trPr>
        <w:tc>
          <w:tcPr>
            <w:tcW w:w="1239" w:type="dxa"/>
          </w:tcPr>
          <w:p w14:paraId="712AEA6F" w14:textId="77777777" w:rsidR="002526C1" w:rsidRDefault="002526C1" w:rsidP="00ED48EA">
            <w:pPr>
              <w:pStyle w:val="Observation"/>
              <w:numPr>
                <w:ilvl w:val="0"/>
                <w:numId w:val="0"/>
              </w:numPr>
              <w:rPr>
                <w:b w:val="0"/>
              </w:rPr>
            </w:pPr>
            <w:r>
              <w:rPr>
                <w:b w:val="0"/>
              </w:rPr>
              <w:t>B1</w:t>
            </w:r>
          </w:p>
        </w:tc>
        <w:tc>
          <w:tcPr>
            <w:tcW w:w="950" w:type="dxa"/>
          </w:tcPr>
          <w:p w14:paraId="712AEA70" w14:textId="77777777" w:rsidR="002526C1" w:rsidRDefault="002526C1" w:rsidP="00ED48EA">
            <w:pPr>
              <w:pStyle w:val="Observation"/>
              <w:numPr>
                <w:ilvl w:val="0"/>
                <w:numId w:val="0"/>
              </w:numPr>
              <w:rPr>
                <w:b w:val="0"/>
              </w:rPr>
            </w:pPr>
            <w:r>
              <w:rPr>
                <w:b w:val="0"/>
              </w:rPr>
              <w:t>B</w:t>
            </w:r>
          </w:p>
        </w:tc>
        <w:tc>
          <w:tcPr>
            <w:tcW w:w="2084" w:type="dxa"/>
          </w:tcPr>
          <w:p w14:paraId="712AEA71" w14:textId="77777777" w:rsidR="002526C1" w:rsidRDefault="002526C1" w:rsidP="00ED48EA">
            <w:pPr>
              <w:pStyle w:val="Observation"/>
              <w:numPr>
                <w:ilvl w:val="0"/>
                <w:numId w:val="0"/>
              </w:numPr>
              <w:rPr>
                <w:b w:val="0"/>
              </w:rPr>
            </w:pPr>
            <w:r>
              <w:rPr>
                <w:b w:val="0"/>
              </w:rPr>
              <w:t>-62</w:t>
            </w:r>
          </w:p>
        </w:tc>
      </w:tr>
      <w:tr w:rsidR="002526C1" w14:paraId="712AEA76" w14:textId="77777777" w:rsidTr="00ED48EA">
        <w:trPr>
          <w:jc w:val="center"/>
        </w:trPr>
        <w:tc>
          <w:tcPr>
            <w:tcW w:w="1239" w:type="dxa"/>
          </w:tcPr>
          <w:p w14:paraId="712AEA73" w14:textId="77777777" w:rsidR="002526C1" w:rsidRDefault="002526C1" w:rsidP="00ED48EA">
            <w:pPr>
              <w:pStyle w:val="Observation"/>
              <w:numPr>
                <w:ilvl w:val="0"/>
                <w:numId w:val="0"/>
              </w:numPr>
              <w:rPr>
                <w:b w:val="0"/>
              </w:rPr>
            </w:pPr>
            <w:r>
              <w:rPr>
                <w:b w:val="0"/>
              </w:rPr>
              <w:t>B2</w:t>
            </w:r>
          </w:p>
        </w:tc>
        <w:tc>
          <w:tcPr>
            <w:tcW w:w="950" w:type="dxa"/>
          </w:tcPr>
          <w:p w14:paraId="712AEA74" w14:textId="77777777" w:rsidR="002526C1" w:rsidRDefault="002526C1" w:rsidP="00ED48EA">
            <w:pPr>
              <w:pStyle w:val="Observation"/>
              <w:numPr>
                <w:ilvl w:val="0"/>
                <w:numId w:val="0"/>
              </w:numPr>
              <w:rPr>
                <w:b w:val="0"/>
              </w:rPr>
            </w:pPr>
            <w:r>
              <w:rPr>
                <w:b w:val="0"/>
              </w:rPr>
              <w:t>B</w:t>
            </w:r>
          </w:p>
        </w:tc>
        <w:tc>
          <w:tcPr>
            <w:tcW w:w="2084" w:type="dxa"/>
          </w:tcPr>
          <w:p w14:paraId="712AEA75" w14:textId="77777777" w:rsidR="002526C1" w:rsidRDefault="002526C1" w:rsidP="00ED48EA">
            <w:pPr>
              <w:pStyle w:val="Observation"/>
              <w:numPr>
                <w:ilvl w:val="0"/>
                <w:numId w:val="0"/>
              </w:numPr>
              <w:rPr>
                <w:b w:val="0"/>
              </w:rPr>
            </w:pPr>
            <w:r>
              <w:rPr>
                <w:b w:val="0"/>
              </w:rPr>
              <w:t>-64</w:t>
            </w:r>
          </w:p>
        </w:tc>
      </w:tr>
      <w:tr w:rsidR="002526C1" w14:paraId="712AEA7A" w14:textId="77777777" w:rsidTr="00ED48EA">
        <w:trPr>
          <w:jc w:val="center"/>
        </w:trPr>
        <w:tc>
          <w:tcPr>
            <w:tcW w:w="1239" w:type="dxa"/>
          </w:tcPr>
          <w:p w14:paraId="712AEA77" w14:textId="77777777" w:rsidR="002526C1" w:rsidRDefault="002526C1" w:rsidP="00ED48EA">
            <w:pPr>
              <w:pStyle w:val="Observation"/>
              <w:numPr>
                <w:ilvl w:val="0"/>
                <w:numId w:val="0"/>
              </w:numPr>
              <w:rPr>
                <w:b w:val="0"/>
              </w:rPr>
            </w:pPr>
            <w:r>
              <w:rPr>
                <w:b w:val="0"/>
              </w:rPr>
              <w:t>B3</w:t>
            </w:r>
          </w:p>
        </w:tc>
        <w:tc>
          <w:tcPr>
            <w:tcW w:w="950" w:type="dxa"/>
          </w:tcPr>
          <w:p w14:paraId="712AEA78" w14:textId="77777777" w:rsidR="002526C1" w:rsidRDefault="002526C1" w:rsidP="00ED48EA">
            <w:pPr>
              <w:pStyle w:val="Observation"/>
              <w:numPr>
                <w:ilvl w:val="0"/>
                <w:numId w:val="0"/>
              </w:numPr>
              <w:rPr>
                <w:b w:val="0"/>
              </w:rPr>
            </w:pPr>
            <w:r>
              <w:rPr>
                <w:b w:val="0"/>
              </w:rPr>
              <w:t>B</w:t>
            </w:r>
          </w:p>
        </w:tc>
        <w:tc>
          <w:tcPr>
            <w:tcW w:w="2084" w:type="dxa"/>
          </w:tcPr>
          <w:p w14:paraId="712AEA79" w14:textId="77777777" w:rsidR="002526C1" w:rsidRDefault="00FD60F4" w:rsidP="00ED48EA">
            <w:pPr>
              <w:pStyle w:val="Observation"/>
              <w:numPr>
                <w:ilvl w:val="0"/>
                <w:numId w:val="0"/>
              </w:numPr>
              <w:rPr>
                <w:b w:val="0"/>
              </w:rPr>
            </w:pPr>
            <w:r>
              <w:rPr>
                <w:b w:val="0"/>
              </w:rPr>
              <w:t>-64.</w:t>
            </w:r>
            <w:r w:rsidR="002526C1">
              <w:rPr>
                <w:b w:val="0"/>
              </w:rPr>
              <w:t>9</w:t>
            </w:r>
          </w:p>
        </w:tc>
      </w:tr>
      <w:tr w:rsidR="002526C1" w14:paraId="712AEA7E" w14:textId="77777777" w:rsidTr="00ED48EA">
        <w:trPr>
          <w:jc w:val="center"/>
        </w:trPr>
        <w:tc>
          <w:tcPr>
            <w:tcW w:w="1239" w:type="dxa"/>
          </w:tcPr>
          <w:p w14:paraId="712AEA7B" w14:textId="77777777" w:rsidR="002526C1" w:rsidRDefault="002526C1" w:rsidP="00ED48EA">
            <w:pPr>
              <w:pStyle w:val="Observation"/>
              <w:numPr>
                <w:ilvl w:val="0"/>
                <w:numId w:val="0"/>
              </w:numPr>
              <w:rPr>
                <w:b w:val="0"/>
              </w:rPr>
            </w:pPr>
            <w:r>
              <w:rPr>
                <w:b w:val="0"/>
              </w:rPr>
              <w:t>B4</w:t>
            </w:r>
          </w:p>
        </w:tc>
        <w:tc>
          <w:tcPr>
            <w:tcW w:w="950" w:type="dxa"/>
          </w:tcPr>
          <w:p w14:paraId="712AEA7C" w14:textId="77777777" w:rsidR="002526C1" w:rsidRDefault="002526C1" w:rsidP="00ED48EA">
            <w:pPr>
              <w:pStyle w:val="Observation"/>
              <w:numPr>
                <w:ilvl w:val="0"/>
                <w:numId w:val="0"/>
              </w:numPr>
              <w:rPr>
                <w:b w:val="0"/>
              </w:rPr>
            </w:pPr>
            <w:r>
              <w:rPr>
                <w:b w:val="0"/>
              </w:rPr>
              <w:t>B</w:t>
            </w:r>
          </w:p>
        </w:tc>
        <w:tc>
          <w:tcPr>
            <w:tcW w:w="2084" w:type="dxa"/>
          </w:tcPr>
          <w:p w14:paraId="712AEA7D" w14:textId="77777777" w:rsidR="002526C1" w:rsidRDefault="002526C1" w:rsidP="00ED48EA">
            <w:pPr>
              <w:pStyle w:val="Observation"/>
              <w:numPr>
                <w:ilvl w:val="0"/>
                <w:numId w:val="0"/>
              </w:numPr>
              <w:rPr>
                <w:b w:val="0"/>
              </w:rPr>
            </w:pPr>
            <w:r>
              <w:rPr>
                <w:b w:val="0"/>
              </w:rPr>
              <w:t>-72</w:t>
            </w:r>
          </w:p>
        </w:tc>
      </w:tr>
    </w:tbl>
    <w:p w14:paraId="712AEA7F" w14:textId="77777777" w:rsidR="002526C1" w:rsidRDefault="002526C1" w:rsidP="002526C1">
      <w:pPr>
        <w:pStyle w:val="Observation"/>
        <w:numPr>
          <w:ilvl w:val="0"/>
          <w:numId w:val="0"/>
        </w:numPr>
        <w:rPr>
          <w:b w:val="0"/>
        </w:rPr>
      </w:pPr>
    </w:p>
    <w:p w14:paraId="712AEA80" w14:textId="77777777" w:rsidR="002526C1" w:rsidRPr="00082DB6" w:rsidRDefault="002526C1" w:rsidP="002526C1">
      <w:pPr>
        <w:pStyle w:val="Observation"/>
        <w:numPr>
          <w:ilvl w:val="0"/>
          <w:numId w:val="0"/>
        </w:numPr>
        <w:rPr>
          <w:b w:val="0"/>
        </w:rPr>
      </w:pPr>
      <w:r w:rsidRPr="00082DB6">
        <w:rPr>
          <w:b w:val="0"/>
        </w:rPr>
        <w:t>Based on the above values, the following table summarizes the cell quality derived based on existing agreements and based on the off</w:t>
      </w:r>
      <w:r>
        <w:rPr>
          <w:b w:val="0"/>
        </w:rPr>
        <w:t xml:space="preserve">set scaling method (alternative </w:t>
      </w:r>
      <w:r w:rsidRPr="00082DB6">
        <w:rPr>
          <w:b w:val="0"/>
        </w:rPr>
        <w:t>1) as mentioned in section</w:t>
      </w:r>
      <w:r>
        <w:rPr>
          <w:b w:val="0"/>
        </w:rPr>
        <w:t xml:space="preserve"> </w:t>
      </w:r>
      <w:r>
        <w:rPr>
          <w:b w:val="0"/>
        </w:rPr>
        <w:fldChar w:fldCharType="begin"/>
      </w:r>
      <w:r>
        <w:rPr>
          <w:b w:val="0"/>
        </w:rPr>
        <w:instrText xml:space="preserve"> REF _Ref503180638 \r \h </w:instrText>
      </w:r>
      <w:r>
        <w:rPr>
          <w:b w:val="0"/>
        </w:rPr>
      </w:r>
      <w:r>
        <w:rPr>
          <w:b w:val="0"/>
        </w:rPr>
        <w:fldChar w:fldCharType="separate"/>
      </w:r>
      <w:r>
        <w:rPr>
          <w:b w:val="0"/>
        </w:rPr>
        <w:t>2.1</w:t>
      </w:r>
      <w:r>
        <w:rPr>
          <w:b w:val="0"/>
        </w:rPr>
        <w:fldChar w:fldCharType="end"/>
      </w:r>
      <w:r w:rsidRPr="00082DB6">
        <w:rPr>
          <w:b w:val="0"/>
        </w:rPr>
        <w:t>.</w:t>
      </w:r>
    </w:p>
    <w:p w14:paraId="712AEA81" w14:textId="77777777" w:rsidR="002526C1" w:rsidRPr="00082DB6" w:rsidRDefault="002526C1" w:rsidP="002526C1">
      <w:pPr>
        <w:pStyle w:val="Observation"/>
        <w:numPr>
          <w:ilvl w:val="0"/>
          <w:numId w:val="0"/>
        </w:numPr>
        <w:rPr>
          <w:b w:val="0"/>
        </w:rPr>
      </w:pPr>
      <w:r w:rsidRPr="00082DB6">
        <w:rPr>
          <w:b w:val="0"/>
        </w:rPr>
        <w:t xml:space="preserve"> </w:t>
      </w:r>
    </w:p>
    <w:tbl>
      <w:tblPr>
        <w:tblStyle w:val="TableGrid"/>
        <w:tblW w:w="0" w:type="auto"/>
        <w:tblLook w:val="04A0" w:firstRow="1" w:lastRow="0" w:firstColumn="1" w:lastColumn="0" w:noHBand="0" w:noVBand="1"/>
      </w:tblPr>
      <w:tblGrid>
        <w:gridCol w:w="4486"/>
        <w:gridCol w:w="2139"/>
        <w:gridCol w:w="2139"/>
      </w:tblGrid>
      <w:tr w:rsidR="002526C1" w:rsidRPr="00C13B07" w14:paraId="712AEA85" w14:textId="77777777" w:rsidTr="00ED48EA">
        <w:tc>
          <w:tcPr>
            <w:tcW w:w="4486" w:type="dxa"/>
          </w:tcPr>
          <w:p w14:paraId="712AEA82" w14:textId="77777777" w:rsidR="002526C1" w:rsidRPr="00C13B07" w:rsidRDefault="002526C1" w:rsidP="00ED48EA">
            <w:pPr>
              <w:pStyle w:val="Observation"/>
              <w:numPr>
                <w:ilvl w:val="0"/>
                <w:numId w:val="0"/>
              </w:numPr>
            </w:pPr>
            <w:r w:rsidRPr="00C13B07">
              <w:t>CQD method</w:t>
            </w:r>
          </w:p>
        </w:tc>
        <w:tc>
          <w:tcPr>
            <w:tcW w:w="2139" w:type="dxa"/>
          </w:tcPr>
          <w:p w14:paraId="712AEA83" w14:textId="77777777" w:rsidR="002526C1" w:rsidRPr="00C13B07" w:rsidRDefault="002526C1" w:rsidP="00ED48EA">
            <w:pPr>
              <w:pStyle w:val="Observation"/>
              <w:numPr>
                <w:ilvl w:val="0"/>
                <w:numId w:val="0"/>
              </w:numPr>
            </w:pPr>
            <w:r w:rsidRPr="00C13B07">
              <w:t>Cell A RSRP</w:t>
            </w:r>
            <w:r>
              <w:t xml:space="preserve"> (dBm)</w:t>
            </w:r>
          </w:p>
        </w:tc>
        <w:tc>
          <w:tcPr>
            <w:tcW w:w="2139" w:type="dxa"/>
          </w:tcPr>
          <w:p w14:paraId="712AEA84" w14:textId="77777777" w:rsidR="002526C1" w:rsidRPr="00C13B07" w:rsidRDefault="002526C1" w:rsidP="00ED48EA">
            <w:pPr>
              <w:pStyle w:val="Observation"/>
              <w:numPr>
                <w:ilvl w:val="0"/>
                <w:numId w:val="0"/>
              </w:numPr>
            </w:pPr>
            <w:r w:rsidRPr="00C13B07">
              <w:t>Cell B RSRP</w:t>
            </w:r>
            <w:r>
              <w:t xml:space="preserve"> (dBm)</w:t>
            </w:r>
          </w:p>
        </w:tc>
      </w:tr>
      <w:tr w:rsidR="002526C1" w14:paraId="712AEA89" w14:textId="77777777" w:rsidTr="00ED48EA">
        <w:tc>
          <w:tcPr>
            <w:tcW w:w="4486" w:type="dxa"/>
          </w:tcPr>
          <w:p w14:paraId="712AEA86" w14:textId="77777777" w:rsidR="002526C1" w:rsidRDefault="002526C1" w:rsidP="00ED48EA">
            <w:pPr>
              <w:pStyle w:val="Observation"/>
              <w:numPr>
                <w:ilvl w:val="0"/>
                <w:numId w:val="0"/>
              </w:numPr>
              <w:rPr>
                <w:b w:val="0"/>
              </w:rPr>
            </w:pPr>
            <w:r>
              <w:rPr>
                <w:b w:val="0"/>
              </w:rPr>
              <w:t>Averaging based on N==3</w:t>
            </w:r>
          </w:p>
        </w:tc>
        <w:tc>
          <w:tcPr>
            <w:tcW w:w="2139" w:type="dxa"/>
          </w:tcPr>
          <w:p w14:paraId="712AEA87" w14:textId="77777777" w:rsidR="002526C1" w:rsidRDefault="002526C1" w:rsidP="00ED48EA">
            <w:pPr>
              <w:pStyle w:val="Observation"/>
              <w:numPr>
                <w:ilvl w:val="0"/>
                <w:numId w:val="0"/>
              </w:numPr>
              <w:rPr>
                <w:b w:val="0"/>
              </w:rPr>
            </w:pPr>
            <w:r>
              <w:rPr>
                <w:b w:val="0"/>
              </w:rPr>
              <w:t>-60</w:t>
            </w:r>
          </w:p>
        </w:tc>
        <w:tc>
          <w:tcPr>
            <w:tcW w:w="2139" w:type="dxa"/>
          </w:tcPr>
          <w:p w14:paraId="712AEA88" w14:textId="77777777" w:rsidR="002526C1" w:rsidRDefault="002526C1" w:rsidP="00ED48EA">
            <w:pPr>
              <w:pStyle w:val="Observation"/>
              <w:numPr>
                <w:ilvl w:val="0"/>
                <w:numId w:val="0"/>
              </w:numPr>
              <w:rPr>
                <w:b w:val="0"/>
              </w:rPr>
            </w:pPr>
            <w:r>
              <w:rPr>
                <w:b w:val="0"/>
              </w:rPr>
              <w:t>-63.459</w:t>
            </w:r>
          </w:p>
        </w:tc>
      </w:tr>
      <w:tr w:rsidR="002526C1" w14:paraId="712AEA8D" w14:textId="77777777" w:rsidTr="00ED48EA">
        <w:tc>
          <w:tcPr>
            <w:tcW w:w="4486" w:type="dxa"/>
          </w:tcPr>
          <w:p w14:paraId="712AEA8A" w14:textId="77777777" w:rsidR="002526C1" w:rsidRDefault="002526C1" w:rsidP="00ED48EA">
            <w:pPr>
              <w:pStyle w:val="Observation"/>
              <w:numPr>
                <w:ilvl w:val="0"/>
                <w:numId w:val="0"/>
              </w:numPr>
              <w:rPr>
                <w:b w:val="0"/>
              </w:rPr>
            </w:pPr>
            <w:r>
              <w:rPr>
                <w:b w:val="0"/>
              </w:rPr>
              <w:t>N==1</w:t>
            </w:r>
          </w:p>
        </w:tc>
        <w:tc>
          <w:tcPr>
            <w:tcW w:w="2139" w:type="dxa"/>
          </w:tcPr>
          <w:p w14:paraId="712AEA8B" w14:textId="77777777" w:rsidR="002526C1" w:rsidRDefault="002526C1" w:rsidP="00ED48EA">
            <w:pPr>
              <w:pStyle w:val="Observation"/>
              <w:numPr>
                <w:ilvl w:val="0"/>
                <w:numId w:val="0"/>
              </w:numPr>
              <w:rPr>
                <w:b w:val="0"/>
              </w:rPr>
            </w:pPr>
            <w:r>
              <w:rPr>
                <w:b w:val="0"/>
              </w:rPr>
              <w:t>-60</w:t>
            </w:r>
          </w:p>
        </w:tc>
        <w:tc>
          <w:tcPr>
            <w:tcW w:w="2139" w:type="dxa"/>
          </w:tcPr>
          <w:p w14:paraId="712AEA8C" w14:textId="77777777" w:rsidR="002526C1" w:rsidRDefault="002526C1" w:rsidP="00ED48EA">
            <w:pPr>
              <w:pStyle w:val="Observation"/>
              <w:numPr>
                <w:ilvl w:val="0"/>
                <w:numId w:val="0"/>
              </w:numPr>
              <w:rPr>
                <w:b w:val="0"/>
              </w:rPr>
            </w:pPr>
            <w:r>
              <w:rPr>
                <w:b w:val="0"/>
              </w:rPr>
              <w:t>-62</w:t>
            </w:r>
          </w:p>
        </w:tc>
      </w:tr>
      <w:tr w:rsidR="002526C1" w14:paraId="712AEA91" w14:textId="77777777" w:rsidTr="00ED48EA">
        <w:tc>
          <w:tcPr>
            <w:tcW w:w="4486" w:type="dxa"/>
          </w:tcPr>
          <w:p w14:paraId="712AEA8E" w14:textId="77777777" w:rsidR="002526C1" w:rsidRPr="00082DB6" w:rsidRDefault="002526C1" w:rsidP="00ED48EA">
            <w:pPr>
              <w:pStyle w:val="Observation"/>
              <w:numPr>
                <w:ilvl w:val="0"/>
                <w:numId w:val="0"/>
              </w:numPr>
              <w:rPr>
                <w:b w:val="0"/>
              </w:rPr>
            </w:pPr>
            <w:r>
              <w:rPr>
                <w:b w:val="0"/>
              </w:rPr>
              <w:t xml:space="preserve">Method proposed in alternative </w:t>
            </w:r>
            <w:r w:rsidRPr="00082DB6">
              <w:rPr>
                <w:b w:val="0"/>
              </w:rPr>
              <w:t xml:space="preserve">1 in section </w:t>
            </w:r>
            <w:r>
              <w:rPr>
                <w:b w:val="0"/>
              </w:rPr>
              <w:fldChar w:fldCharType="begin"/>
            </w:r>
            <w:r>
              <w:rPr>
                <w:b w:val="0"/>
              </w:rPr>
              <w:instrText xml:space="preserve"> REF _Ref503180638 \r \h </w:instrText>
            </w:r>
            <w:r>
              <w:rPr>
                <w:b w:val="0"/>
              </w:rPr>
            </w:r>
            <w:r>
              <w:rPr>
                <w:b w:val="0"/>
              </w:rPr>
              <w:fldChar w:fldCharType="separate"/>
            </w:r>
            <w:r>
              <w:rPr>
                <w:b w:val="0"/>
              </w:rPr>
              <w:t>2.1</w:t>
            </w:r>
            <w:r>
              <w:rPr>
                <w:b w:val="0"/>
              </w:rPr>
              <w:fldChar w:fldCharType="end"/>
            </w:r>
          </w:p>
        </w:tc>
        <w:tc>
          <w:tcPr>
            <w:tcW w:w="2139" w:type="dxa"/>
          </w:tcPr>
          <w:p w14:paraId="712AEA8F" w14:textId="77777777" w:rsidR="002526C1" w:rsidRDefault="002526C1" w:rsidP="00ED48EA">
            <w:pPr>
              <w:pStyle w:val="Observation"/>
              <w:numPr>
                <w:ilvl w:val="0"/>
                <w:numId w:val="0"/>
              </w:numPr>
              <w:rPr>
                <w:b w:val="0"/>
              </w:rPr>
            </w:pPr>
            <w:r>
              <w:rPr>
                <w:b w:val="0"/>
              </w:rPr>
              <w:t>-60</w:t>
            </w:r>
          </w:p>
        </w:tc>
        <w:tc>
          <w:tcPr>
            <w:tcW w:w="2139" w:type="dxa"/>
          </w:tcPr>
          <w:p w14:paraId="712AEA90" w14:textId="77777777" w:rsidR="002526C1" w:rsidRDefault="002526C1" w:rsidP="00ED48EA">
            <w:pPr>
              <w:pStyle w:val="Observation"/>
              <w:numPr>
                <w:ilvl w:val="0"/>
                <w:numId w:val="0"/>
              </w:numPr>
              <w:rPr>
                <w:b w:val="0"/>
              </w:rPr>
            </w:pPr>
            <w:r>
              <w:rPr>
                <w:b w:val="0"/>
              </w:rPr>
              <w:t>-57.459</w:t>
            </w:r>
          </w:p>
        </w:tc>
      </w:tr>
    </w:tbl>
    <w:p w14:paraId="712AEA92" w14:textId="77777777" w:rsidR="002526C1" w:rsidRDefault="002526C1" w:rsidP="002526C1">
      <w:pPr>
        <w:pStyle w:val="Observation"/>
        <w:numPr>
          <w:ilvl w:val="0"/>
          <w:numId w:val="0"/>
        </w:numPr>
        <w:rPr>
          <w:b w:val="0"/>
        </w:rPr>
      </w:pPr>
    </w:p>
    <w:p w14:paraId="712AEA93" w14:textId="77777777" w:rsidR="002526C1" w:rsidRPr="00082DB6" w:rsidRDefault="002526C1" w:rsidP="002526C1">
      <w:pPr>
        <w:pStyle w:val="Observation"/>
        <w:numPr>
          <w:ilvl w:val="0"/>
          <w:numId w:val="0"/>
        </w:numPr>
        <w:rPr>
          <w:b w:val="0"/>
        </w:rPr>
      </w:pPr>
      <w:r w:rsidRPr="00082DB6">
        <w:rPr>
          <w:b w:val="0"/>
        </w:rPr>
        <w:t xml:space="preserve">As shown in the table above, when using the methods proposed in section </w:t>
      </w:r>
      <w:r w:rsidR="00FD60F4">
        <w:rPr>
          <w:b w:val="0"/>
        </w:rPr>
        <w:fldChar w:fldCharType="begin"/>
      </w:r>
      <w:r w:rsidR="00FD60F4">
        <w:rPr>
          <w:b w:val="0"/>
        </w:rPr>
        <w:instrText xml:space="preserve"> REF _Ref503180638 \r \h </w:instrText>
      </w:r>
      <w:r w:rsidR="00FD60F4">
        <w:rPr>
          <w:b w:val="0"/>
        </w:rPr>
      </w:r>
      <w:r w:rsidR="00FD60F4">
        <w:rPr>
          <w:b w:val="0"/>
        </w:rPr>
        <w:fldChar w:fldCharType="separate"/>
      </w:r>
      <w:r w:rsidR="00FD60F4">
        <w:rPr>
          <w:b w:val="0"/>
        </w:rPr>
        <w:t>2.1</w:t>
      </w:r>
      <w:r w:rsidR="00FD60F4">
        <w:rPr>
          <w:b w:val="0"/>
        </w:rPr>
        <w:fldChar w:fldCharType="end"/>
      </w:r>
      <w:r w:rsidRPr="00082DB6">
        <w:rPr>
          <w:b w:val="0"/>
        </w:rPr>
        <w:t xml:space="preserve">, it is possible to have cell quality to be better than the best beam quality in the cell. It is also worth noting that just by including the beam level qualities in the measurement report (as already agreed in RAN2), the network will obtain all the necessary information to make a ‘good’ handover decision. Based on the above results, it is proposed not to introduce any scaling of the cell quality values or the offsets/thresholds associated with the events. </w:t>
      </w:r>
    </w:p>
    <w:p w14:paraId="712AEA94" w14:textId="77777777" w:rsidR="003742AC" w:rsidRPr="00FD60F4" w:rsidRDefault="002526C1" w:rsidP="006E062C">
      <w:pPr>
        <w:pStyle w:val="Proposal"/>
      </w:pPr>
      <w:bookmarkStart w:id="8" w:name="_Toc503181110"/>
      <w:r w:rsidRPr="00FD60F4">
        <w:t>Scaling</w:t>
      </w:r>
      <w:r w:rsidRPr="00082DB6">
        <w:t xml:space="preserve"> of cell quality or the scaling of offsets/thresh</w:t>
      </w:r>
      <w:r w:rsidR="00FD60F4">
        <w:t xml:space="preserve">olds associated with the events </w:t>
      </w:r>
      <w:r w:rsidRPr="00082DB6">
        <w:t>is not supported in NR.</w:t>
      </w:r>
      <w:bookmarkEnd w:id="3"/>
      <w:bookmarkEnd w:id="4"/>
      <w:bookmarkEnd w:id="5"/>
      <w:bookmarkEnd w:id="6"/>
      <w:bookmarkEnd w:id="7"/>
      <w:bookmarkEnd w:id="8"/>
    </w:p>
    <w:p w14:paraId="712AEA95" w14:textId="77777777" w:rsidR="00C01F33" w:rsidRPr="00CE0424" w:rsidRDefault="00C01F33" w:rsidP="00CE0424">
      <w:pPr>
        <w:pStyle w:val="Heading1"/>
      </w:pPr>
      <w:r w:rsidRPr="00CE0424">
        <w:t>Conclusion</w:t>
      </w:r>
    </w:p>
    <w:p w14:paraId="712AEA96" w14:textId="77777777" w:rsidR="00FD60F4"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F60ED">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12AEA97" w14:textId="77777777" w:rsidR="00FD60F4" w:rsidRPr="00FD60F4" w:rsidRDefault="00FD60F4">
      <w:pPr>
        <w:pStyle w:val="TOC1"/>
        <w:rPr>
          <w:rFonts w:asciiTheme="minorHAnsi" w:eastAsiaTheme="minorEastAsia" w:hAnsiTheme="minorHAnsi" w:cstheme="minorBidi"/>
          <w:b w:val="0"/>
          <w:sz w:val="22"/>
          <w:lang w:eastAsia="sv-SE"/>
        </w:rPr>
      </w:pPr>
      <w:r w:rsidRPr="00050DEA">
        <w:t>Proposal 1</w:t>
      </w:r>
      <w:r w:rsidRPr="00FD60F4">
        <w:rPr>
          <w:rFonts w:asciiTheme="minorHAnsi" w:eastAsiaTheme="minorEastAsia" w:hAnsiTheme="minorHAnsi" w:cstheme="minorBidi"/>
          <w:b w:val="0"/>
          <w:sz w:val="22"/>
          <w:lang w:eastAsia="sv-SE"/>
        </w:rPr>
        <w:tab/>
      </w:r>
      <w:r>
        <w:t>Scaling</w:t>
      </w:r>
      <w:r w:rsidRPr="00050DEA">
        <w:t xml:space="preserve"> of cell quality or the scaling of offsets/thresholds associated with the events is not supported in NR.</w:t>
      </w:r>
    </w:p>
    <w:p w14:paraId="712AEA98" w14:textId="77777777" w:rsidR="008E065E" w:rsidRPr="00CE0424" w:rsidRDefault="008E065E" w:rsidP="008E065E">
      <w:pPr>
        <w:rPr>
          <w:b/>
          <w:bCs/>
        </w:rPr>
      </w:pPr>
      <w:r>
        <w:rPr>
          <w:b/>
          <w:bCs/>
        </w:rPr>
        <w:fldChar w:fldCharType="end"/>
      </w:r>
    </w:p>
    <w:p w14:paraId="712AEA99" w14:textId="77777777" w:rsidR="00F507D1" w:rsidRPr="00CE0424" w:rsidRDefault="00F507D1" w:rsidP="00CE0424">
      <w:pPr>
        <w:pStyle w:val="Heading1"/>
      </w:pPr>
      <w:bookmarkStart w:id="9" w:name="_In-sequence_SDU_delivery"/>
      <w:bookmarkEnd w:id="9"/>
      <w:r w:rsidRPr="00CE0424">
        <w:lastRenderedPageBreak/>
        <w:t>References</w:t>
      </w:r>
    </w:p>
    <w:p w14:paraId="712AEA9A" w14:textId="77777777" w:rsidR="003F60ED" w:rsidRDefault="00EB69BD" w:rsidP="00EB69BD">
      <w:pPr>
        <w:pStyle w:val="Reference"/>
      </w:pPr>
      <w:bookmarkStart w:id="10" w:name="_Ref503179870"/>
      <w:bookmarkStart w:id="11" w:name="_Ref174151459"/>
      <w:bookmarkStart w:id="12" w:name="_Ref189809556"/>
      <w:r>
        <w:t xml:space="preserve">Chairman’s report RAN2#98; </w:t>
      </w:r>
      <w:hyperlink r:id="rId13" w:history="1">
        <w:r w:rsidRPr="00EB69BD">
          <w:rPr>
            <w:rStyle w:val="Hyperlink"/>
          </w:rPr>
          <w:t>http://www.3gpp.org/ftp/TSG_RAN/WG2_RL2/TSGR2_98/Report/</w:t>
        </w:r>
      </w:hyperlink>
      <w:bookmarkEnd w:id="10"/>
    </w:p>
    <w:p w14:paraId="712AEA9B" w14:textId="77777777" w:rsidR="00EB69BD" w:rsidRDefault="00EB69BD" w:rsidP="00EB69BD">
      <w:pPr>
        <w:pStyle w:val="Reference"/>
      </w:pPr>
      <w:bookmarkStart w:id="13" w:name="_Ref503179891"/>
      <w:r>
        <w:t xml:space="preserve">Chairman’s report RAN2#98AH; </w:t>
      </w:r>
      <w:hyperlink r:id="rId14" w:history="1">
        <w:r w:rsidR="001C48D2" w:rsidRPr="00431A05">
          <w:rPr>
            <w:rStyle w:val="Hyperlink"/>
          </w:rPr>
          <w:t>http://www.3gpp.org/ftp/TSG_RAN/WG2_RL2/TSGR2_AHs/2017_06_NR/Report/</w:t>
        </w:r>
      </w:hyperlink>
      <w:bookmarkEnd w:id="13"/>
    </w:p>
    <w:p w14:paraId="712AEA9C" w14:textId="47D4B1F3" w:rsidR="005F3025" w:rsidRPr="00CE0424" w:rsidRDefault="003F60ED" w:rsidP="00311702">
      <w:pPr>
        <w:pStyle w:val="Reference"/>
      </w:pPr>
      <w:bookmarkStart w:id="14" w:name="_Ref503179901"/>
      <w:r>
        <w:t>R2-1</w:t>
      </w:r>
      <w:r w:rsidR="003765AF">
        <w:t>00500</w:t>
      </w:r>
      <w:r>
        <w:t xml:space="preserve">, Cell quality adjustment, Huawei, </w:t>
      </w:r>
      <w:r>
        <w:rPr>
          <w:bCs/>
          <w:iCs/>
        </w:rPr>
        <w:t xml:space="preserve">3GPP TSG-RAN WG2 </w:t>
      </w:r>
      <w:r w:rsidR="003765AF">
        <w:rPr>
          <w:bCs/>
          <w:iCs/>
        </w:rPr>
        <w:t>NR AH 1801</w:t>
      </w:r>
      <w:r>
        <w:rPr>
          <w:bCs/>
          <w:iCs/>
        </w:rPr>
        <w:t xml:space="preserve">, </w:t>
      </w:r>
      <w:r w:rsidR="003765AF">
        <w:rPr>
          <w:bCs/>
          <w:iCs/>
        </w:rPr>
        <w:t>Vancouver</w:t>
      </w:r>
      <w:r>
        <w:rPr>
          <w:bCs/>
          <w:iCs/>
        </w:rPr>
        <w:t xml:space="preserve">, </w:t>
      </w:r>
      <w:r w:rsidR="003765AF">
        <w:rPr>
          <w:bCs/>
          <w:iCs/>
        </w:rPr>
        <w:t>Canada</w:t>
      </w:r>
      <w:r>
        <w:rPr>
          <w:bCs/>
          <w:iCs/>
        </w:rPr>
        <w:t xml:space="preserve">, </w:t>
      </w:r>
      <w:r w:rsidR="003765AF">
        <w:rPr>
          <w:bCs/>
          <w:iCs/>
        </w:rPr>
        <w:t>22</w:t>
      </w:r>
      <w:r w:rsidR="003765AF">
        <w:rPr>
          <w:bCs/>
          <w:iCs/>
          <w:vertAlign w:val="superscript"/>
        </w:rPr>
        <w:t>nd</w:t>
      </w:r>
      <w:r>
        <w:rPr>
          <w:bCs/>
          <w:iCs/>
        </w:rPr>
        <w:t xml:space="preserve"> – </w:t>
      </w:r>
      <w:r w:rsidR="003765AF">
        <w:rPr>
          <w:bCs/>
          <w:iCs/>
        </w:rPr>
        <w:t>26</w:t>
      </w:r>
      <w:r w:rsidRPr="003F60ED">
        <w:rPr>
          <w:bCs/>
          <w:iCs/>
          <w:vertAlign w:val="superscript"/>
        </w:rPr>
        <w:t>t</w:t>
      </w:r>
      <w:r w:rsidR="003765AF">
        <w:rPr>
          <w:bCs/>
          <w:iCs/>
          <w:vertAlign w:val="superscript"/>
        </w:rPr>
        <w:t>h</w:t>
      </w:r>
      <w:r>
        <w:rPr>
          <w:bCs/>
          <w:iCs/>
        </w:rPr>
        <w:t xml:space="preserve"> </w:t>
      </w:r>
      <w:r w:rsidR="003765AF">
        <w:rPr>
          <w:bCs/>
          <w:iCs/>
        </w:rPr>
        <w:t>Jan</w:t>
      </w:r>
      <w:r>
        <w:rPr>
          <w:bCs/>
          <w:iCs/>
        </w:rPr>
        <w:t xml:space="preserve"> 201</w:t>
      </w:r>
      <w:bookmarkEnd w:id="11"/>
      <w:bookmarkEnd w:id="12"/>
      <w:bookmarkEnd w:id="14"/>
      <w:r w:rsidR="003765AF">
        <w:rPr>
          <w:bCs/>
          <w:iCs/>
        </w:rPr>
        <w:t>8</w:t>
      </w:r>
    </w:p>
    <w:sectPr w:rsidR="005F3025"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B757B" w14:textId="77777777" w:rsidR="00B8021D" w:rsidRDefault="00B8021D">
      <w:r>
        <w:separator/>
      </w:r>
    </w:p>
  </w:endnote>
  <w:endnote w:type="continuationSeparator" w:id="0">
    <w:p w14:paraId="5F67224C" w14:textId="77777777" w:rsidR="00B8021D" w:rsidRDefault="00B80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AEAA2" w14:textId="2381EF73" w:rsidR="00920BF2" w:rsidRDefault="00920BF2"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9D1B5" w14:textId="77777777" w:rsidR="00B8021D" w:rsidRDefault="00B8021D">
      <w:r>
        <w:separator/>
      </w:r>
    </w:p>
  </w:footnote>
  <w:footnote w:type="continuationSeparator" w:id="0">
    <w:p w14:paraId="3CB02A2E" w14:textId="77777777" w:rsidR="00B8021D" w:rsidRDefault="00B80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AEAA1" w14:textId="7FA2DB46" w:rsidR="00920BF2" w:rsidRDefault="00920B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8E24172"/>
    <w:multiLevelType w:val="hybridMultilevel"/>
    <w:tmpl w:val="A0624B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0ED"/>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1308"/>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924"/>
    <w:rsid w:val="00197DF9"/>
    <w:rsid w:val="001A1987"/>
    <w:rsid w:val="001A2564"/>
    <w:rsid w:val="001A6173"/>
    <w:rsid w:val="001A6CBA"/>
    <w:rsid w:val="001B0D97"/>
    <w:rsid w:val="001B5A5D"/>
    <w:rsid w:val="001C1CE5"/>
    <w:rsid w:val="001C3D2A"/>
    <w:rsid w:val="001C48D2"/>
    <w:rsid w:val="001C7608"/>
    <w:rsid w:val="001D51BA"/>
    <w:rsid w:val="001D6342"/>
    <w:rsid w:val="001D6D53"/>
    <w:rsid w:val="001E58E2"/>
    <w:rsid w:val="001E75F7"/>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1926"/>
    <w:rsid w:val="002224DB"/>
    <w:rsid w:val="00223FCB"/>
    <w:rsid w:val="002252C3"/>
    <w:rsid w:val="00225C54"/>
    <w:rsid w:val="002274D2"/>
    <w:rsid w:val="00230765"/>
    <w:rsid w:val="002319E4"/>
    <w:rsid w:val="00235632"/>
    <w:rsid w:val="00235872"/>
    <w:rsid w:val="00237320"/>
    <w:rsid w:val="00241559"/>
    <w:rsid w:val="002435B3"/>
    <w:rsid w:val="002458EB"/>
    <w:rsid w:val="002500C8"/>
    <w:rsid w:val="002526C1"/>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2A80"/>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36D17"/>
    <w:rsid w:val="00342BD7"/>
    <w:rsid w:val="00343A07"/>
    <w:rsid w:val="00346DB5"/>
    <w:rsid w:val="003477B1"/>
    <w:rsid w:val="0035491B"/>
    <w:rsid w:val="00357380"/>
    <w:rsid w:val="003602D9"/>
    <w:rsid w:val="003604CE"/>
    <w:rsid w:val="00370E47"/>
    <w:rsid w:val="003742AC"/>
    <w:rsid w:val="003765AF"/>
    <w:rsid w:val="00377CE1"/>
    <w:rsid w:val="00385BF0"/>
    <w:rsid w:val="003939FF"/>
    <w:rsid w:val="003A2223"/>
    <w:rsid w:val="003A2A0F"/>
    <w:rsid w:val="003A45A1"/>
    <w:rsid w:val="003A5B0A"/>
    <w:rsid w:val="003A6BAC"/>
    <w:rsid w:val="003A7EF3"/>
    <w:rsid w:val="003B11F4"/>
    <w:rsid w:val="003B159C"/>
    <w:rsid w:val="003B369F"/>
    <w:rsid w:val="003B36A3"/>
    <w:rsid w:val="003B460B"/>
    <w:rsid w:val="003B7FE5"/>
    <w:rsid w:val="003C11C8"/>
    <w:rsid w:val="003C2702"/>
    <w:rsid w:val="003C5665"/>
    <w:rsid w:val="003C7806"/>
    <w:rsid w:val="003D109F"/>
    <w:rsid w:val="003D2478"/>
    <w:rsid w:val="003D3C45"/>
    <w:rsid w:val="003D5B1F"/>
    <w:rsid w:val="003E15FA"/>
    <w:rsid w:val="003E55E4"/>
    <w:rsid w:val="003E74E3"/>
    <w:rsid w:val="003F05C7"/>
    <w:rsid w:val="003F2CD4"/>
    <w:rsid w:val="003F60ED"/>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2266"/>
    <w:rsid w:val="00437447"/>
    <w:rsid w:val="00441A92"/>
    <w:rsid w:val="00444F56"/>
    <w:rsid w:val="00446488"/>
    <w:rsid w:val="004517AA"/>
    <w:rsid w:val="00452CAC"/>
    <w:rsid w:val="00457565"/>
    <w:rsid w:val="00457A1F"/>
    <w:rsid w:val="00457B71"/>
    <w:rsid w:val="004669E2"/>
    <w:rsid w:val="00470C31"/>
    <w:rsid w:val="004734D0"/>
    <w:rsid w:val="0047556B"/>
    <w:rsid w:val="00477768"/>
    <w:rsid w:val="00492BC5"/>
    <w:rsid w:val="004964F1"/>
    <w:rsid w:val="00496B64"/>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889"/>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65CC"/>
    <w:rsid w:val="00817196"/>
    <w:rsid w:val="008235DB"/>
    <w:rsid w:val="00823BB3"/>
    <w:rsid w:val="00824AB4"/>
    <w:rsid w:val="00825C42"/>
    <w:rsid w:val="00825D25"/>
    <w:rsid w:val="00827D6F"/>
    <w:rsid w:val="008376AC"/>
    <w:rsid w:val="00840ED0"/>
    <w:rsid w:val="008444E8"/>
    <w:rsid w:val="00844E80"/>
    <w:rsid w:val="00846FE7"/>
    <w:rsid w:val="00854F97"/>
    <w:rsid w:val="00856911"/>
    <w:rsid w:val="008677FD"/>
    <w:rsid w:val="008706D4"/>
    <w:rsid w:val="00870C3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3CE9"/>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660"/>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4A3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021D"/>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525B"/>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1FFE"/>
    <w:rsid w:val="00CF3B1F"/>
    <w:rsid w:val="00CF3BF6"/>
    <w:rsid w:val="00CF625B"/>
    <w:rsid w:val="00CF687E"/>
    <w:rsid w:val="00D0349B"/>
    <w:rsid w:val="00D10249"/>
    <w:rsid w:val="00D115C3"/>
    <w:rsid w:val="00D11897"/>
    <w:rsid w:val="00D13135"/>
    <w:rsid w:val="00D13E4E"/>
    <w:rsid w:val="00D146A3"/>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40D5"/>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69BD"/>
    <w:rsid w:val="00EC27C6"/>
    <w:rsid w:val="00EC4207"/>
    <w:rsid w:val="00EC5653"/>
    <w:rsid w:val="00EC71CE"/>
    <w:rsid w:val="00ED1006"/>
    <w:rsid w:val="00EF18FE"/>
    <w:rsid w:val="00EF5787"/>
    <w:rsid w:val="00EF60D0"/>
    <w:rsid w:val="00F000E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60F4"/>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12AEA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1FFE"/>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840E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40ED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40ED0"/>
    <w:pPr>
      <w:numPr>
        <w:ilvl w:val="2"/>
      </w:numPr>
      <w:spacing w:before="120"/>
      <w:outlineLvl w:val="2"/>
    </w:pPr>
    <w:rPr>
      <w:sz w:val="28"/>
      <w:szCs w:val="28"/>
    </w:rPr>
  </w:style>
  <w:style w:type="paragraph" w:styleId="Heading4">
    <w:name w:val="heading 4"/>
    <w:basedOn w:val="Heading3"/>
    <w:next w:val="Normal"/>
    <w:qFormat/>
    <w:rsid w:val="00840ED0"/>
    <w:pPr>
      <w:numPr>
        <w:ilvl w:val="3"/>
      </w:numPr>
      <w:outlineLvl w:val="3"/>
    </w:pPr>
    <w:rPr>
      <w:sz w:val="24"/>
      <w:szCs w:val="24"/>
    </w:rPr>
  </w:style>
  <w:style w:type="paragraph" w:styleId="Heading5">
    <w:name w:val="heading 5"/>
    <w:basedOn w:val="Heading4"/>
    <w:next w:val="Normal"/>
    <w:qFormat/>
    <w:rsid w:val="00840ED0"/>
    <w:pPr>
      <w:numPr>
        <w:ilvl w:val="4"/>
      </w:numPr>
      <w:outlineLvl w:val="4"/>
    </w:pPr>
    <w:rPr>
      <w:sz w:val="22"/>
      <w:szCs w:val="22"/>
    </w:rPr>
  </w:style>
  <w:style w:type="paragraph" w:styleId="Heading6">
    <w:name w:val="heading 6"/>
    <w:basedOn w:val="Normal"/>
    <w:next w:val="Normal"/>
    <w:qFormat/>
    <w:rsid w:val="00840ED0"/>
    <w:pPr>
      <w:keepNext/>
      <w:keepLines/>
      <w:numPr>
        <w:ilvl w:val="5"/>
        <w:numId w:val="1"/>
      </w:numPr>
      <w:spacing w:before="120"/>
      <w:outlineLvl w:val="5"/>
    </w:pPr>
    <w:rPr>
      <w:rFonts w:cs="Arial"/>
    </w:rPr>
  </w:style>
  <w:style w:type="paragraph" w:styleId="Heading7">
    <w:name w:val="heading 7"/>
    <w:basedOn w:val="Normal"/>
    <w:next w:val="Normal"/>
    <w:qFormat/>
    <w:rsid w:val="00840ED0"/>
    <w:pPr>
      <w:keepNext/>
      <w:keepLines/>
      <w:numPr>
        <w:ilvl w:val="6"/>
        <w:numId w:val="1"/>
      </w:numPr>
      <w:spacing w:before="120"/>
      <w:outlineLvl w:val="6"/>
    </w:pPr>
    <w:rPr>
      <w:rFonts w:cs="Arial"/>
    </w:rPr>
  </w:style>
  <w:style w:type="paragraph" w:styleId="Heading8">
    <w:name w:val="heading 8"/>
    <w:basedOn w:val="Heading7"/>
    <w:next w:val="Normal"/>
    <w:qFormat/>
    <w:rsid w:val="00840ED0"/>
    <w:pPr>
      <w:numPr>
        <w:ilvl w:val="7"/>
      </w:numPr>
      <w:outlineLvl w:val="7"/>
    </w:pPr>
  </w:style>
  <w:style w:type="paragraph" w:styleId="Heading9">
    <w:name w:val="heading 9"/>
    <w:basedOn w:val="Heading8"/>
    <w:next w:val="Normal"/>
    <w:qFormat/>
    <w:rsid w:val="00840ED0"/>
    <w:pPr>
      <w:numPr>
        <w:ilvl w:val="8"/>
      </w:numPr>
      <w:outlineLvl w:val="8"/>
    </w:pPr>
  </w:style>
  <w:style w:type="character" w:default="1" w:styleId="DefaultParagraphFont">
    <w:name w:val="Default Paragraph Font"/>
    <w:uiPriority w:val="1"/>
    <w:semiHidden/>
    <w:unhideWhenUsed/>
    <w:rsid w:val="00CF1F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F1FFE"/>
  </w:style>
  <w:style w:type="paragraph" w:styleId="TOC8">
    <w:name w:val="toc 8"/>
    <w:basedOn w:val="TOC1"/>
    <w:semiHidden/>
    <w:rsid w:val="00840ED0"/>
    <w:pPr>
      <w:spacing w:before="180"/>
      <w:ind w:left="2693" w:hanging="2693"/>
    </w:pPr>
    <w:rPr>
      <w:b w:val="0"/>
      <w:bCs/>
    </w:rPr>
  </w:style>
  <w:style w:type="paragraph" w:styleId="TOC1">
    <w:name w:val="toc 1"/>
    <w:aliases w:val="Observation TOC2"/>
    <w:uiPriority w:val="39"/>
    <w:rsid w:val="00840ED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40ED0"/>
    <w:pPr>
      <w:keepNext/>
      <w:keepLines/>
      <w:spacing w:before="180"/>
      <w:jc w:val="center"/>
    </w:pPr>
  </w:style>
  <w:style w:type="paragraph" w:styleId="Caption">
    <w:name w:val="caption"/>
    <w:basedOn w:val="Normal"/>
    <w:next w:val="Normal"/>
    <w:qFormat/>
    <w:rsid w:val="00840ED0"/>
    <w:pPr>
      <w:spacing w:after="240"/>
      <w:jc w:val="center"/>
    </w:pPr>
    <w:rPr>
      <w:b/>
      <w:bCs/>
    </w:rPr>
  </w:style>
  <w:style w:type="paragraph" w:styleId="TOC5">
    <w:name w:val="toc 5"/>
    <w:aliases w:val="Observation TOC"/>
    <w:basedOn w:val="TOC4"/>
    <w:semiHidden/>
    <w:rsid w:val="00840ED0"/>
    <w:pPr>
      <w:tabs>
        <w:tab w:val="right" w:pos="1701"/>
      </w:tabs>
      <w:ind w:left="1701" w:hanging="1701"/>
    </w:pPr>
  </w:style>
  <w:style w:type="paragraph" w:styleId="TOC4">
    <w:name w:val="toc 4"/>
    <w:basedOn w:val="TOC3"/>
    <w:semiHidden/>
    <w:rsid w:val="00840ED0"/>
    <w:pPr>
      <w:ind w:left="1418" w:hanging="1418"/>
    </w:pPr>
  </w:style>
  <w:style w:type="paragraph" w:styleId="TOC3">
    <w:name w:val="toc 3"/>
    <w:basedOn w:val="TOC2"/>
    <w:semiHidden/>
    <w:rsid w:val="00840ED0"/>
    <w:pPr>
      <w:ind w:left="1134" w:hanging="1134"/>
    </w:pPr>
  </w:style>
  <w:style w:type="paragraph" w:styleId="TOC2">
    <w:name w:val="toc 2"/>
    <w:basedOn w:val="TOC1"/>
    <w:semiHidden/>
    <w:rsid w:val="00840ED0"/>
    <w:pPr>
      <w:keepNext w:val="0"/>
      <w:spacing w:before="0"/>
      <w:ind w:left="851" w:hanging="851"/>
    </w:pPr>
    <w:rPr>
      <w:szCs w:val="20"/>
    </w:rPr>
  </w:style>
  <w:style w:type="paragraph" w:styleId="Index2">
    <w:name w:val="index 2"/>
    <w:basedOn w:val="Index1"/>
    <w:semiHidden/>
    <w:rsid w:val="00840ED0"/>
    <w:pPr>
      <w:ind w:left="284"/>
    </w:pPr>
  </w:style>
  <w:style w:type="paragraph" w:styleId="Index1">
    <w:name w:val="index 1"/>
    <w:basedOn w:val="Normal"/>
    <w:semiHidden/>
    <w:rsid w:val="00840ED0"/>
    <w:pPr>
      <w:keepLines/>
      <w:spacing w:after="0"/>
    </w:pPr>
  </w:style>
  <w:style w:type="paragraph" w:styleId="DocumentMap">
    <w:name w:val="Document Map"/>
    <w:basedOn w:val="Normal"/>
    <w:semiHidden/>
    <w:rsid w:val="00840ED0"/>
    <w:pPr>
      <w:shd w:val="clear" w:color="auto" w:fill="000080"/>
    </w:pPr>
    <w:rPr>
      <w:rFonts w:ascii="Tahoma" w:hAnsi="Tahoma" w:cs="Tahoma"/>
    </w:rPr>
  </w:style>
  <w:style w:type="paragraph" w:styleId="ListNumber2">
    <w:name w:val="List Number 2"/>
    <w:basedOn w:val="ListNumber"/>
    <w:rsid w:val="00840ED0"/>
    <w:pPr>
      <w:ind w:left="851"/>
    </w:pPr>
  </w:style>
  <w:style w:type="paragraph" w:styleId="ListNumber">
    <w:name w:val="List Number"/>
    <w:basedOn w:val="List"/>
    <w:rsid w:val="00840ED0"/>
  </w:style>
  <w:style w:type="paragraph" w:styleId="List">
    <w:name w:val="List"/>
    <w:basedOn w:val="Normal"/>
    <w:rsid w:val="00840ED0"/>
    <w:pPr>
      <w:ind w:left="568" w:hanging="284"/>
    </w:pPr>
  </w:style>
  <w:style w:type="paragraph" w:styleId="Header">
    <w:name w:val="header"/>
    <w:rsid w:val="00840ED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40ED0"/>
    <w:rPr>
      <w:b/>
      <w:bCs/>
      <w:position w:val="6"/>
      <w:sz w:val="16"/>
      <w:szCs w:val="16"/>
    </w:rPr>
  </w:style>
  <w:style w:type="paragraph" w:styleId="FootnoteText">
    <w:name w:val="footnote text"/>
    <w:basedOn w:val="Normal"/>
    <w:semiHidden/>
    <w:rsid w:val="00840ED0"/>
    <w:pPr>
      <w:keepLines/>
      <w:spacing w:after="0"/>
      <w:ind w:left="454" w:hanging="454"/>
    </w:pPr>
    <w:rPr>
      <w:sz w:val="16"/>
      <w:szCs w:val="16"/>
    </w:rPr>
  </w:style>
  <w:style w:type="paragraph" w:customStyle="1" w:styleId="3GPPHeader">
    <w:name w:val="3GPP_Header"/>
    <w:basedOn w:val="Normal"/>
    <w:rsid w:val="00840ED0"/>
    <w:pPr>
      <w:tabs>
        <w:tab w:val="left" w:pos="1701"/>
        <w:tab w:val="right" w:pos="9639"/>
      </w:tabs>
      <w:spacing w:after="240"/>
    </w:pPr>
    <w:rPr>
      <w:b/>
      <w:sz w:val="24"/>
    </w:rPr>
  </w:style>
  <w:style w:type="paragraph" w:styleId="TOC9">
    <w:name w:val="toc 9"/>
    <w:basedOn w:val="TOC8"/>
    <w:semiHidden/>
    <w:rsid w:val="00840ED0"/>
    <w:pPr>
      <w:ind w:left="1418" w:hanging="1418"/>
    </w:pPr>
  </w:style>
  <w:style w:type="paragraph" w:styleId="TOC6">
    <w:name w:val="toc 6"/>
    <w:basedOn w:val="TOC5"/>
    <w:next w:val="Normal"/>
    <w:semiHidden/>
    <w:rsid w:val="00840ED0"/>
    <w:pPr>
      <w:ind w:left="1985" w:hanging="1985"/>
    </w:pPr>
  </w:style>
  <w:style w:type="paragraph" w:styleId="TOC7">
    <w:name w:val="toc 7"/>
    <w:basedOn w:val="TOC6"/>
    <w:next w:val="Normal"/>
    <w:semiHidden/>
    <w:rsid w:val="00840ED0"/>
    <w:pPr>
      <w:ind w:left="2268" w:hanging="2268"/>
    </w:pPr>
  </w:style>
  <w:style w:type="paragraph" w:styleId="ListBullet2">
    <w:name w:val="List Bullet 2"/>
    <w:basedOn w:val="ListBullet"/>
    <w:rsid w:val="00840ED0"/>
    <w:pPr>
      <w:numPr>
        <w:numId w:val="6"/>
      </w:numPr>
    </w:pPr>
  </w:style>
  <w:style w:type="paragraph" w:styleId="ListBullet">
    <w:name w:val="List Bullet"/>
    <w:basedOn w:val="BodyText"/>
    <w:rsid w:val="00840ED0"/>
    <w:pPr>
      <w:numPr>
        <w:numId w:val="5"/>
      </w:numPr>
    </w:pPr>
  </w:style>
  <w:style w:type="paragraph" w:styleId="ListBullet3">
    <w:name w:val="List Bullet 3"/>
    <w:basedOn w:val="ListBullet2"/>
    <w:rsid w:val="00840ED0"/>
    <w:pPr>
      <w:numPr>
        <w:numId w:val="7"/>
      </w:numPr>
    </w:pPr>
  </w:style>
  <w:style w:type="paragraph" w:customStyle="1" w:styleId="EQ">
    <w:name w:val="EQ"/>
    <w:basedOn w:val="Normal"/>
    <w:next w:val="Normal"/>
    <w:rsid w:val="00840ED0"/>
    <w:pPr>
      <w:keepLines/>
      <w:tabs>
        <w:tab w:val="center" w:pos="4536"/>
        <w:tab w:val="right" w:pos="9072"/>
      </w:tabs>
      <w:spacing w:after="180"/>
    </w:pPr>
    <w:rPr>
      <w:noProof/>
    </w:rPr>
  </w:style>
  <w:style w:type="paragraph" w:styleId="List2">
    <w:name w:val="List 2"/>
    <w:basedOn w:val="List"/>
    <w:rsid w:val="00840ED0"/>
    <w:pPr>
      <w:ind w:left="851"/>
    </w:pPr>
  </w:style>
  <w:style w:type="paragraph" w:styleId="List3">
    <w:name w:val="List 3"/>
    <w:basedOn w:val="List2"/>
    <w:rsid w:val="00840ED0"/>
    <w:pPr>
      <w:ind w:left="1135"/>
    </w:pPr>
  </w:style>
  <w:style w:type="paragraph" w:styleId="List4">
    <w:name w:val="List 4"/>
    <w:basedOn w:val="List3"/>
    <w:rsid w:val="00840ED0"/>
    <w:pPr>
      <w:ind w:left="1418"/>
    </w:pPr>
  </w:style>
  <w:style w:type="paragraph" w:styleId="List5">
    <w:name w:val="List 5"/>
    <w:basedOn w:val="List4"/>
    <w:rsid w:val="00840ED0"/>
    <w:pPr>
      <w:ind w:left="1702"/>
    </w:pPr>
  </w:style>
  <w:style w:type="paragraph" w:customStyle="1" w:styleId="EditorsNote">
    <w:name w:val="Editor's Note"/>
    <w:basedOn w:val="Normal"/>
    <w:rsid w:val="00840ED0"/>
    <w:pPr>
      <w:keepLines/>
      <w:spacing w:after="180"/>
      <w:ind w:left="1135" w:hanging="851"/>
    </w:pPr>
    <w:rPr>
      <w:color w:val="FF0000"/>
    </w:rPr>
  </w:style>
  <w:style w:type="paragraph" w:styleId="ListBullet4">
    <w:name w:val="List Bullet 4"/>
    <w:basedOn w:val="ListBullet3"/>
    <w:rsid w:val="00840ED0"/>
    <w:pPr>
      <w:numPr>
        <w:numId w:val="8"/>
      </w:numPr>
    </w:pPr>
  </w:style>
  <w:style w:type="paragraph" w:styleId="ListBullet5">
    <w:name w:val="List Bullet 5"/>
    <w:basedOn w:val="ListBullet4"/>
    <w:rsid w:val="00840ED0"/>
    <w:pPr>
      <w:numPr>
        <w:numId w:val="4"/>
      </w:numPr>
    </w:pPr>
  </w:style>
  <w:style w:type="paragraph" w:styleId="Footer">
    <w:name w:val="footer"/>
    <w:basedOn w:val="Header"/>
    <w:semiHidden/>
    <w:rsid w:val="00840ED0"/>
    <w:pPr>
      <w:jc w:val="center"/>
    </w:pPr>
    <w:rPr>
      <w:i/>
      <w:iCs/>
    </w:rPr>
  </w:style>
  <w:style w:type="paragraph" w:customStyle="1" w:styleId="Reference">
    <w:name w:val="Reference"/>
    <w:basedOn w:val="Normal"/>
    <w:rsid w:val="00840ED0"/>
    <w:pPr>
      <w:numPr>
        <w:numId w:val="2"/>
      </w:numPr>
    </w:pPr>
  </w:style>
  <w:style w:type="paragraph" w:styleId="BalloonText">
    <w:name w:val="Balloon Text"/>
    <w:basedOn w:val="Normal"/>
    <w:semiHidden/>
    <w:rsid w:val="00840ED0"/>
    <w:rPr>
      <w:rFonts w:ascii="Tahoma" w:hAnsi="Tahoma" w:cs="Tahoma"/>
      <w:sz w:val="16"/>
      <w:szCs w:val="16"/>
    </w:rPr>
  </w:style>
  <w:style w:type="character" w:styleId="PageNumber">
    <w:name w:val="page number"/>
    <w:basedOn w:val="DefaultParagraphFont"/>
    <w:semiHidden/>
    <w:rsid w:val="00840ED0"/>
  </w:style>
  <w:style w:type="paragraph" w:styleId="BodyText">
    <w:name w:val="Body Text"/>
    <w:basedOn w:val="Normal"/>
    <w:link w:val="BodyTextChar"/>
    <w:rsid w:val="00840ED0"/>
  </w:style>
  <w:style w:type="character" w:styleId="Hyperlink">
    <w:name w:val="Hyperlink"/>
    <w:uiPriority w:val="99"/>
    <w:rsid w:val="00840ED0"/>
    <w:rPr>
      <w:color w:val="0000FF"/>
      <w:u w:val="single"/>
      <w:lang w:val="en-GB"/>
    </w:rPr>
  </w:style>
  <w:style w:type="character" w:styleId="FollowedHyperlink">
    <w:name w:val="FollowedHyperlink"/>
    <w:semiHidden/>
    <w:rsid w:val="00840ED0"/>
    <w:rPr>
      <w:color w:val="FF0000"/>
      <w:u w:val="single"/>
    </w:rPr>
  </w:style>
  <w:style w:type="character" w:styleId="CommentReference">
    <w:name w:val="annotation reference"/>
    <w:semiHidden/>
    <w:rsid w:val="00840ED0"/>
    <w:rPr>
      <w:sz w:val="16"/>
      <w:szCs w:val="16"/>
    </w:rPr>
  </w:style>
  <w:style w:type="paragraph" w:styleId="CommentText">
    <w:name w:val="annotation text"/>
    <w:basedOn w:val="Normal"/>
    <w:semiHidden/>
    <w:rsid w:val="00840ED0"/>
  </w:style>
  <w:style w:type="paragraph" w:styleId="CommentSubject">
    <w:name w:val="annotation subject"/>
    <w:basedOn w:val="CommentText"/>
    <w:next w:val="CommentText"/>
    <w:semiHidden/>
    <w:rsid w:val="00840ED0"/>
    <w:rPr>
      <w:b/>
      <w:bCs/>
    </w:rPr>
  </w:style>
  <w:style w:type="character" w:customStyle="1" w:styleId="Heading1Char">
    <w:name w:val="Heading 1 Char"/>
    <w:link w:val="Heading1"/>
    <w:rsid w:val="00840ED0"/>
    <w:rPr>
      <w:rFonts w:ascii="Arial" w:hAnsi="Arial" w:cs="Arial"/>
      <w:sz w:val="36"/>
      <w:szCs w:val="36"/>
      <w:lang w:val="en-GB" w:eastAsia="zh-CN"/>
    </w:rPr>
  </w:style>
  <w:style w:type="paragraph" w:customStyle="1" w:styleId="B1">
    <w:name w:val="B1"/>
    <w:basedOn w:val="List"/>
    <w:rsid w:val="00840ED0"/>
    <w:pPr>
      <w:spacing w:after="180"/>
    </w:pPr>
  </w:style>
  <w:style w:type="paragraph" w:customStyle="1" w:styleId="B2">
    <w:name w:val="B2"/>
    <w:basedOn w:val="List2"/>
    <w:rsid w:val="00840ED0"/>
    <w:pPr>
      <w:spacing w:after="180"/>
    </w:pPr>
  </w:style>
  <w:style w:type="paragraph" w:customStyle="1" w:styleId="B3">
    <w:name w:val="B3"/>
    <w:basedOn w:val="List3"/>
    <w:rsid w:val="00840ED0"/>
    <w:pPr>
      <w:spacing w:after="180"/>
    </w:pPr>
  </w:style>
  <w:style w:type="paragraph" w:customStyle="1" w:styleId="B4">
    <w:name w:val="B4"/>
    <w:basedOn w:val="List4"/>
    <w:rsid w:val="00840ED0"/>
    <w:pPr>
      <w:spacing w:after="180"/>
    </w:pPr>
  </w:style>
  <w:style w:type="paragraph" w:customStyle="1" w:styleId="Proposal">
    <w:name w:val="Proposal"/>
    <w:basedOn w:val="Normal"/>
    <w:rsid w:val="00840ED0"/>
    <w:pPr>
      <w:numPr>
        <w:numId w:val="3"/>
      </w:numPr>
      <w:tabs>
        <w:tab w:val="clear" w:pos="1304"/>
        <w:tab w:val="left" w:pos="1701"/>
      </w:tabs>
      <w:ind w:left="1701" w:hanging="1701"/>
    </w:pPr>
    <w:rPr>
      <w:b/>
      <w:bCs/>
    </w:rPr>
  </w:style>
  <w:style w:type="character" w:customStyle="1" w:styleId="BodyTextChar">
    <w:name w:val="Body Text Char"/>
    <w:link w:val="BodyText"/>
    <w:rsid w:val="00840ED0"/>
    <w:rPr>
      <w:rFonts w:ascii="Arial" w:hAnsi="Arial"/>
      <w:lang w:val="en-GB" w:eastAsia="zh-CN"/>
    </w:rPr>
  </w:style>
  <w:style w:type="paragraph" w:customStyle="1" w:styleId="B5">
    <w:name w:val="B5"/>
    <w:basedOn w:val="List5"/>
    <w:rsid w:val="00840ED0"/>
    <w:pPr>
      <w:spacing w:after="180"/>
    </w:pPr>
  </w:style>
  <w:style w:type="paragraph" w:customStyle="1" w:styleId="EX">
    <w:name w:val="EX"/>
    <w:basedOn w:val="Normal"/>
    <w:rsid w:val="00840ED0"/>
    <w:pPr>
      <w:keepLines/>
      <w:spacing w:after="180"/>
      <w:ind w:left="1702" w:hanging="1418"/>
    </w:pPr>
  </w:style>
  <w:style w:type="paragraph" w:customStyle="1" w:styleId="EW">
    <w:name w:val="EW"/>
    <w:basedOn w:val="EX"/>
    <w:rsid w:val="00840ED0"/>
    <w:pPr>
      <w:spacing w:after="0"/>
    </w:pPr>
  </w:style>
  <w:style w:type="paragraph" w:customStyle="1" w:styleId="TAL">
    <w:name w:val="TAL"/>
    <w:basedOn w:val="Normal"/>
    <w:rsid w:val="00840ED0"/>
    <w:pPr>
      <w:keepNext/>
      <w:keepLines/>
      <w:spacing w:after="0"/>
    </w:pPr>
    <w:rPr>
      <w:sz w:val="18"/>
    </w:rPr>
  </w:style>
  <w:style w:type="paragraph" w:customStyle="1" w:styleId="TAC">
    <w:name w:val="TAC"/>
    <w:basedOn w:val="TAL"/>
    <w:rsid w:val="00840ED0"/>
    <w:pPr>
      <w:jc w:val="center"/>
    </w:pPr>
  </w:style>
  <w:style w:type="paragraph" w:customStyle="1" w:styleId="TAH">
    <w:name w:val="TAH"/>
    <w:basedOn w:val="TAC"/>
    <w:rsid w:val="00840ED0"/>
    <w:rPr>
      <w:b/>
    </w:rPr>
  </w:style>
  <w:style w:type="paragraph" w:customStyle="1" w:styleId="TAN">
    <w:name w:val="TAN"/>
    <w:basedOn w:val="TAL"/>
    <w:rsid w:val="00840ED0"/>
    <w:pPr>
      <w:ind w:left="851" w:hanging="851"/>
    </w:pPr>
  </w:style>
  <w:style w:type="paragraph" w:customStyle="1" w:styleId="TAR">
    <w:name w:val="TAR"/>
    <w:basedOn w:val="TAL"/>
    <w:rsid w:val="00840ED0"/>
    <w:pPr>
      <w:jc w:val="right"/>
    </w:pPr>
  </w:style>
  <w:style w:type="paragraph" w:customStyle="1" w:styleId="TH">
    <w:name w:val="TH"/>
    <w:basedOn w:val="Normal"/>
    <w:rsid w:val="00840ED0"/>
    <w:pPr>
      <w:keepNext/>
      <w:keepLines/>
      <w:spacing w:before="60" w:after="180"/>
      <w:jc w:val="center"/>
    </w:pPr>
    <w:rPr>
      <w:b/>
    </w:rPr>
  </w:style>
  <w:style w:type="paragraph" w:customStyle="1" w:styleId="TF">
    <w:name w:val="TF"/>
    <w:basedOn w:val="TH"/>
    <w:rsid w:val="00840ED0"/>
    <w:pPr>
      <w:keepNext w:val="0"/>
      <w:spacing w:before="0" w:after="240"/>
    </w:pPr>
  </w:style>
  <w:style w:type="paragraph" w:customStyle="1" w:styleId="TT">
    <w:name w:val="TT"/>
    <w:basedOn w:val="Heading1"/>
    <w:next w:val="Normal"/>
    <w:rsid w:val="00840ED0"/>
    <w:pPr>
      <w:numPr>
        <w:numId w:val="0"/>
      </w:numPr>
      <w:ind w:left="1134" w:hanging="1134"/>
      <w:outlineLvl w:val="9"/>
    </w:pPr>
    <w:rPr>
      <w:rFonts w:cs="Times New Roman"/>
      <w:szCs w:val="20"/>
      <w:lang w:eastAsia="en-US"/>
    </w:rPr>
  </w:style>
  <w:style w:type="paragraph" w:customStyle="1" w:styleId="ZA">
    <w:name w:val="ZA"/>
    <w:rsid w:val="00840E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40E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40ED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40ED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40ED0"/>
  </w:style>
  <w:style w:type="paragraph" w:customStyle="1" w:styleId="ZH">
    <w:name w:val="ZH"/>
    <w:rsid w:val="00840ED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40E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40ED0"/>
    <w:pPr>
      <w:framePr w:hRule="auto" w:wrap="notBeside" w:y="852"/>
    </w:pPr>
    <w:rPr>
      <w:i w:val="0"/>
      <w:sz w:val="40"/>
    </w:rPr>
  </w:style>
  <w:style w:type="paragraph" w:customStyle="1" w:styleId="ZU">
    <w:name w:val="ZU"/>
    <w:rsid w:val="00840E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40ED0"/>
    <w:pPr>
      <w:framePr w:wrap="notBeside" w:y="16161"/>
    </w:pPr>
  </w:style>
  <w:style w:type="paragraph" w:customStyle="1" w:styleId="FP">
    <w:name w:val="FP"/>
    <w:basedOn w:val="Normal"/>
    <w:rsid w:val="00840ED0"/>
    <w:pPr>
      <w:spacing w:after="0"/>
    </w:pPr>
  </w:style>
  <w:style w:type="paragraph" w:customStyle="1" w:styleId="Observation">
    <w:name w:val="Observation"/>
    <w:basedOn w:val="Proposal"/>
    <w:qFormat/>
    <w:rsid w:val="00840ED0"/>
    <w:pPr>
      <w:numPr>
        <w:numId w:val="13"/>
      </w:numPr>
      <w:ind w:left="1701" w:hanging="1701"/>
    </w:pPr>
  </w:style>
  <w:style w:type="paragraph" w:styleId="TableofFigures">
    <w:name w:val="table of figures"/>
    <w:basedOn w:val="Normal"/>
    <w:next w:val="Normal"/>
    <w:uiPriority w:val="99"/>
    <w:rsid w:val="00840ED0"/>
    <w:pPr>
      <w:ind w:left="1418" w:hanging="1418"/>
    </w:pPr>
    <w:rPr>
      <w:b/>
    </w:rPr>
  </w:style>
  <w:style w:type="paragraph" w:customStyle="1" w:styleId="Doc-text2">
    <w:name w:val="Doc-text2"/>
    <w:basedOn w:val="Normal"/>
    <w:link w:val="Doc-text2Char"/>
    <w:qFormat/>
    <w:rsid w:val="00840ED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840ED0"/>
    <w:rPr>
      <w:rFonts w:ascii="Arial" w:eastAsia="MS Mincho" w:hAnsi="Arial"/>
      <w:szCs w:val="24"/>
      <w:lang w:val="en-GB" w:eastAsia="en-GB"/>
    </w:rPr>
  </w:style>
  <w:style w:type="character" w:styleId="UnresolvedMention">
    <w:name w:val="Unresolved Mention"/>
    <w:basedOn w:val="DefaultParagraphFont"/>
    <w:uiPriority w:val="99"/>
    <w:semiHidden/>
    <w:unhideWhenUsed/>
    <w:rsid w:val="00EB69BD"/>
    <w:rPr>
      <w:color w:val="808080"/>
      <w:shd w:val="clear" w:color="auto" w:fill="E6E6E6"/>
    </w:rPr>
  </w:style>
  <w:style w:type="table" w:styleId="TableGrid">
    <w:name w:val="Table Grid"/>
    <w:basedOn w:val="TableNormal"/>
    <w:rsid w:val="002526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92477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2_RL2/TSGR2_98/Repor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2_RL2/TSGR2_AHs/2017_06_NR/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5NUHHDQN7SK2-1476151046-27115</_dlc_DocId>
    <_dlc_DocIdUrl xmlns="f166a696-7b5b-4ccd-9f0c-ffde0cceec81">
      <Url>https://ericsson.sharepoint.com/sites/star/_layouts/15/DocIdRedir.aspx?ID=5NUHHDQN7SK2-1476151046-27115</Url>
      <Description>5NUHHDQN7SK2-1476151046-27115</Description>
    </_dlc_DocIdUrl>
    <Issue_x0020_in_x0020_OI_x0020_list_x0020__x0028_Y_x002f_N_x0029_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B597E-9EC0-4A57-9763-7DD577A23DAE}">
  <ds:schemaRefs>
    <ds:schemaRef ds:uri="http://schemas.microsoft.com/sharepoint/events"/>
  </ds:schemaRefs>
</ds:datastoreItem>
</file>

<file path=customXml/itemProps2.xml><?xml version="1.0" encoding="utf-8"?>
<ds:datastoreItem xmlns:ds="http://schemas.openxmlformats.org/officeDocument/2006/customXml" ds:itemID="{6F78A507-9CDE-4A88-88E6-AEE0CB2631AB}">
  <ds:schemaRefs>
    <ds:schemaRef ds:uri="http://schemas.microsoft.com/sharepoint/v3/contenttype/forms"/>
  </ds:schemaRefs>
</ds:datastoreItem>
</file>

<file path=customXml/itemProps3.xml><?xml version="1.0" encoding="utf-8"?>
<ds:datastoreItem xmlns:ds="http://schemas.openxmlformats.org/officeDocument/2006/customXml" ds:itemID="{F15991BC-0558-480C-AC27-7C148B0DED81}">
  <ds:schemaRefs>
    <ds:schemaRef ds:uri="http://www.w3.org/XML/1998/namespace"/>
    <ds:schemaRef ds:uri="http://purl.org/dc/dcmitype/"/>
    <ds:schemaRef ds:uri="f166a696-7b5b-4ccd-9f0c-ffde0cceec81"/>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schemas.microsoft.com/sharepoint/v4"/>
    <ds:schemaRef ds:uri="http://schemas.microsoft.com/office/2006/metadata/properties"/>
    <ds:schemaRef ds:uri="d8762117-8292-4133-b1c7-eab5c6487cfd"/>
    <ds:schemaRef ds:uri="611109f9-ed58-4498-a270-1fb2086a5321"/>
    <ds:schemaRef ds:uri="http://purl.org/dc/terms/"/>
  </ds:schemaRefs>
</ds:datastoreItem>
</file>

<file path=customXml/itemProps4.xml><?xml version="1.0" encoding="utf-8"?>
<ds:datastoreItem xmlns:ds="http://schemas.openxmlformats.org/officeDocument/2006/customXml" ds:itemID="{0E4CEC53-C5F4-498A-9DCB-F5A7FE781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4895E5A-4E5E-49F9-B14D-554CBB689F32}">
  <ds:schemaRefs>
    <ds:schemaRef ds:uri="Microsoft.SharePoint.Taxonomy.ContentTypeSync"/>
  </ds:schemaRefs>
</ds:datastoreItem>
</file>

<file path=customXml/itemProps6.xml><?xml version="1.0" encoding="utf-8"?>
<ds:datastoreItem xmlns:ds="http://schemas.openxmlformats.org/officeDocument/2006/customXml" ds:itemID="{33CC792A-607F-4185-A0E7-58EC40F43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746</Words>
  <Characters>4386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2018-03-20T09:31:00Z</dcterms:created>
  <dcterms:modified xsi:type="dcterms:W3CDTF">2018-08-09T14:22:00Z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6caf7f94-0ae5-489e-94a0-b4fd494f1daf</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